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855D" w14:textId="02786E37" w:rsidR="00D907D2" w:rsidRPr="003663B4" w:rsidRDefault="00434629" w:rsidP="003663B4">
      <w:pPr>
        <w:jc w:val="center"/>
        <w:rPr>
          <w:rFonts w:ascii="Times New Roman" w:eastAsia="宋体" w:hAnsi="Times New Roman" w:cs="Times New Roman"/>
          <w:b/>
          <w:kern w:val="0"/>
          <w:sz w:val="28"/>
          <w:szCs w:val="28"/>
        </w:rPr>
      </w:pPr>
      <w:r w:rsidRPr="003663B4">
        <w:rPr>
          <w:rFonts w:ascii="Times New Roman" w:eastAsia="宋体" w:hAnsi="Times New Roman" w:cs="Times New Roman"/>
          <w:b/>
          <w:kern w:val="0"/>
          <w:sz w:val="28"/>
          <w:szCs w:val="28"/>
        </w:rPr>
        <w:t>Code of Conduct Complaint Form</w:t>
      </w:r>
    </w:p>
    <w:p w14:paraId="3520D336" w14:textId="78BB7AFF" w:rsidR="002211C2" w:rsidRPr="0028108D" w:rsidRDefault="006B3FCE">
      <w:pPr>
        <w:rPr>
          <w:rFonts w:ascii="Times New Roman" w:eastAsia="宋体" w:hAnsi="Times New Roman" w:cs="Times New Roman"/>
          <w:kern w:val="0"/>
          <w:sz w:val="24"/>
          <w:szCs w:val="24"/>
        </w:rPr>
      </w:pPr>
      <w:r w:rsidRPr="0028108D">
        <w:rPr>
          <w:rFonts w:ascii="Times New Roman" w:eastAsia="宋体" w:hAnsi="Times New Roman" w:cs="Times New Roman" w:hint="eastAsia"/>
          <w:kern w:val="0"/>
          <w:sz w:val="24"/>
          <w:szCs w:val="24"/>
        </w:rPr>
        <w:t>Please fill out the form and send it to UPI either by email</w:t>
      </w:r>
      <w:r w:rsidR="00846A77" w:rsidRPr="0028108D">
        <w:rPr>
          <w:rFonts w:ascii="Times New Roman" w:eastAsia="宋体" w:hAnsi="Times New Roman" w:cs="Times New Roman"/>
          <w:kern w:val="0"/>
          <w:sz w:val="24"/>
          <w:szCs w:val="24"/>
        </w:rPr>
        <w:t xml:space="preserve">, </w:t>
      </w:r>
      <w:r w:rsidRPr="0028108D">
        <w:rPr>
          <w:rFonts w:ascii="Times New Roman" w:eastAsia="宋体" w:hAnsi="Times New Roman" w:cs="Times New Roman" w:hint="eastAsia"/>
          <w:kern w:val="0"/>
          <w:sz w:val="24"/>
          <w:szCs w:val="24"/>
        </w:rPr>
        <w:t xml:space="preserve">or </w:t>
      </w:r>
      <w:r w:rsidRPr="0028108D">
        <w:rPr>
          <w:rFonts w:ascii="Times New Roman" w:eastAsia="宋体" w:hAnsi="Times New Roman" w:cs="Times New Roman"/>
          <w:kern w:val="0"/>
          <w:sz w:val="24"/>
          <w:szCs w:val="24"/>
        </w:rPr>
        <w:t xml:space="preserve">to the address </w:t>
      </w:r>
      <w:r w:rsidR="00846A77" w:rsidRPr="0028108D">
        <w:rPr>
          <w:rFonts w:ascii="Times New Roman" w:eastAsia="宋体" w:hAnsi="Times New Roman" w:cs="Times New Roman"/>
          <w:kern w:val="0"/>
          <w:sz w:val="24"/>
          <w:szCs w:val="24"/>
        </w:rPr>
        <w:t>below</w:t>
      </w:r>
      <w:r w:rsidR="005238E8" w:rsidRPr="0028108D">
        <w:rPr>
          <w:rFonts w:ascii="Times New Roman" w:eastAsia="宋体" w:hAnsi="Times New Roman" w:cs="Times New Roman"/>
          <w:kern w:val="0"/>
          <w:sz w:val="24"/>
          <w:szCs w:val="24"/>
        </w:rPr>
        <w:t xml:space="preserve">. </w:t>
      </w:r>
    </w:p>
    <w:p w14:paraId="224BD484" w14:textId="61125EF0" w:rsidR="006B3FCE" w:rsidRDefault="002211C2">
      <w:pPr>
        <w:rPr>
          <w:rFonts w:ascii="Times New Roman" w:eastAsia="宋体" w:hAnsi="Times New Roman" w:cs="Times New Roman"/>
          <w:kern w:val="0"/>
          <w:sz w:val="24"/>
          <w:szCs w:val="24"/>
        </w:rPr>
      </w:pPr>
      <w:r w:rsidRPr="0028108D">
        <w:rPr>
          <w:rFonts w:ascii="Times New Roman" w:eastAsia="宋体" w:hAnsi="Times New Roman" w:cs="Times New Roman" w:hint="eastAsia"/>
          <w:kern w:val="0"/>
          <w:sz w:val="24"/>
          <w:szCs w:val="24"/>
        </w:rPr>
        <w:t xml:space="preserve">We will acknowledge the receipt of your complaints within 5 business days. </w:t>
      </w:r>
      <w:r w:rsidR="005238E8" w:rsidRPr="0028108D">
        <w:rPr>
          <w:rFonts w:ascii="Times New Roman" w:eastAsia="宋体" w:hAnsi="Times New Roman" w:cs="Times New Roman"/>
          <w:kern w:val="0"/>
          <w:sz w:val="24"/>
          <w:szCs w:val="24"/>
        </w:rPr>
        <w:t xml:space="preserve">Your complaint will be responded to within </w:t>
      </w:r>
      <w:r w:rsidRPr="0028108D">
        <w:rPr>
          <w:rFonts w:ascii="Times New Roman" w:eastAsia="宋体" w:hAnsi="Times New Roman" w:cs="Times New Roman" w:hint="eastAsia"/>
          <w:kern w:val="0"/>
          <w:sz w:val="24"/>
          <w:szCs w:val="24"/>
        </w:rPr>
        <w:t>45</w:t>
      </w:r>
      <w:r w:rsidR="005238E8" w:rsidRPr="0028108D">
        <w:rPr>
          <w:rFonts w:ascii="Times New Roman" w:eastAsia="宋体" w:hAnsi="Times New Roman" w:cs="Times New Roman"/>
          <w:kern w:val="0"/>
          <w:sz w:val="24"/>
          <w:szCs w:val="24"/>
        </w:rPr>
        <w:t xml:space="preserve"> days upon receipt by UPI at the contact information provided within Section 1 of this form.</w:t>
      </w:r>
    </w:p>
    <w:p w14:paraId="0015DE9E" w14:textId="13707CAE" w:rsidR="004B3294" w:rsidRDefault="00666C0B">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Email: </w:t>
      </w:r>
      <w:hyperlink r:id="rId8" w:history="1">
        <w:r w:rsidR="0054443E" w:rsidRPr="0054443E">
          <w:rPr>
            <w:rStyle w:val="Hyperlink"/>
            <w:rFonts w:ascii="Times New Roman" w:eastAsia="宋体" w:hAnsi="Times New Roman" w:cs="Times New Roman"/>
            <w:kern w:val="0"/>
            <w:sz w:val="24"/>
            <w:szCs w:val="24"/>
          </w:rPr>
          <w:t>canada</w:t>
        </w:r>
        <w:r w:rsidR="0054443E" w:rsidRPr="0054443E">
          <w:rPr>
            <w:rStyle w:val="Hyperlink"/>
            <w:rFonts w:ascii="Times New Roman" w:eastAsia="宋体" w:hAnsi="Times New Roman" w:cs="Times New Roman" w:hint="eastAsia"/>
            <w:kern w:val="0"/>
            <w:sz w:val="24"/>
            <w:szCs w:val="24"/>
          </w:rPr>
          <w:t>@unionpayintl.com</w:t>
        </w:r>
      </w:hyperlink>
      <w:r w:rsidR="004B3294">
        <w:rPr>
          <w:rFonts w:ascii="Times New Roman" w:eastAsia="宋体" w:hAnsi="Times New Roman" w:cs="Times New Roman" w:hint="eastAsia"/>
          <w:kern w:val="0"/>
          <w:sz w:val="24"/>
          <w:szCs w:val="24"/>
        </w:rPr>
        <w:t xml:space="preserve">  Tel:</w:t>
      </w:r>
      <w:r w:rsidR="009C2C51">
        <w:rPr>
          <w:rFonts w:ascii="Times New Roman" w:eastAsia="宋体" w:hAnsi="Times New Roman" w:cs="Times New Roman"/>
          <w:kern w:val="0"/>
          <w:sz w:val="24"/>
          <w:szCs w:val="24"/>
        </w:rPr>
        <w:t xml:space="preserve"> 416 221 8810</w:t>
      </w:r>
      <w:bookmarkStart w:id="0" w:name="_GoBack"/>
      <w:bookmarkEnd w:id="0"/>
      <w:r w:rsidR="0054443E">
        <w:rPr>
          <w:rFonts w:ascii="Times New Roman" w:eastAsia="宋体" w:hAnsi="Times New Roman" w:cs="Times New Roman"/>
          <w:kern w:val="0"/>
          <w:sz w:val="24"/>
          <w:szCs w:val="24"/>
        </w:rPr>
        <w:t xml:space="preserve"> </w:t>
      </w:r>
    </w:p>
    <w:p w14:paraId="763C346A" w14:textId="0950AB11" w:rsidR="0012455B" w:rsidRPr="004B3294" w:rsidRDefault="0012455B">
      <w:pPr>
        <w:rPr>
          <w:rFonts w:ascii="Times New Roman" w:eastAsia="宋体" w:hAnsi="Times New Roman" w:cs="Times New Roman"/>
          <w:kern w:val="0"/>
          <w:sz w:val="24"/>
          <w:szCs w:val="24"/>
        </w:rPr>
      </w:pPr>
      <w:r w:rsidRPr="0012455B">
        <w:rPr>
          <w:rFonts w:ascii="Times New Roman" w:eastAsia="宋体" w:hAnsi="Times New Roman" w:cs="Times New Roman"/>
          <w:kern w:val="0"/>
          <w:sz w:val="24"/>
          <w:szCs w:val="24"/>
        </w:rPr>
        <w:t>Address:</w:t>
      </w:r>
      <w:r>
        <w:rPr>
          <w:rFonts w:ascii="Times New Roman" w:eastAsia="宋体" w:hAnsi="Times New Roman" w:cs="Times New Roman" w:hint="eastAsia"/>
          <w:kern w:val="0"/>
          <w:sz w:val="24"/>
          <w:szCs w:val="24"/>
        </w:rPr>
        <w:t xml:space="preserve"> </w:t>
      </w:r>
      <w:r w:rsidR="0054443E">
        <w:rPr>
          <w:rFonts w:ascii="Times New Roman" w:eastAsia="宋体" w:hAnsi="Times New Roman" w:cs="Times New Roman"/>
          <w:kern w:val="0"/>
          <w:sz w:val="24"/>
          <w:szCs w:val="24"/>
        </w:rPr>
        <w:t>4950 Yonge Street, Suite 100</w:t>
      </w:r>
      <w:r w:rsidR="007B2B48">
        <w:rPr>
          <w:rFonts w:ascii="Times New Roman" w:eastAsia="宋体" w:hAnsi="Times New Roman" w:cs="Times New Roman"/>
          <w:kern w:val="0"/>
          <w:sz w:val="24"/>
          <w:szCs w:val="24"/>
        </w:rPr>
        <w:t>5</w:t>
      </w:r>
      <w:r w:rsidR="0054443E">
        <w:rPr>
          <w:rFonts w:ascii="Times New Roman" w:eastAsia="宋体" w:hAnsi="Times New Roman" w:cs="Times New Roman"/>
          <w:kern w:val="0"/>
          <w:sz w:val="24"/>
          <w:szCs w:val="24"/>
        </w:rPr>
        <w:t>, Toronto, ON M2N 6K1, Canada</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95"/>
        <w:gridCol w:w="719"/>
        <w:gridCol w:w="187"/>
        <w:gridCol w:w="84"/>
        <w:gridCol w:w="1420"/>
        <w:gridCol w:w="1273"/>
        <w:gridCol w:w="1337"/>
        <w:gridCol w:w="1078"/>
        <w:gridCol w:w="2010"/>
      </w:tblGrid>
      <w:tr w:rsidR="006B3FCE" w14:paraId="5E252607" w14:textId="77777777" w:rsidTr="006B3FCE">
        <w:tc>
          <w:tcPr>
            <w:tcW w:w="8925" w:type="dxa"/>
            <w:gridSpan w:val="10"/>
            <w:shd w:val="clear" w:color="auto" w:fill="0C0C0C"/>
            <w:hideMark/>
          </w:tcPr>
          <w:p w14:paraId="52248592" w14:textId="77777777" w:rsidR="006B3FCE" w:rsidRDefault="006B3FCE" w:rsidP="004862FB">
            <w:pPr>
              <w:rPr>
                <w:rFonts w:ascii="Times New Roman" w:eastAsia="宋体" w:hAnsi="Times New Roman" w:cs="Times New Roman"/>
                <w:b/>
                <w:color w:val="FFFFFF"/>
                <w:szCs w:val="24"/>
              </w:rPr>
            </w:pPr>
            <w:r>
              <w:rPr>
                <w:b/>
                <w:color w:val="FFFFFF"/>
              </w:rPr>
              <w:t>1</w:t>
            </w:r>
            <w:r w:rsidR="004862FB">
              <w:rPr>
                <w:rFonts w:hint="eastAsia"/>
                <w:b/>
                <w:color w:val="FFFFFF"/>
              </w:rPr>
              <w:t>-</w:t>
            </w:r>
            <w:r>
              <w:rPr>
                <w:b/>
                <w:color w:val="FFFFFF"/>
              </w:rPr>
              <w:t>Contact Information</w:t>
            </w:r>
          </w:p>
        </w:tc>
      </w:tr>
      <w:tr w:rsidR="006B3FCE" w14:paraId="73AA95C2" w14:textId="77777777" w:rsidTr="008C6324">
        <w:tc>
          <w:tcPr>
            <w:tcW w:w="1536" w:type="dxa"/>
            <w:gridSpan w:val="3"/>
            <w:hideMark/>
          </w:tcPr>
          <w:p w14:paraId="5230BB46" w14:textId="77777777" w:rsidR="006B3FCE" w:rsidRDefault="006B3FCE">
            <w:pPr>
              <w:rPr>
                <w:rFonts w:ascii="Times New Roman" w:eastAsia="宋体" w:hAnsi="Times New Roman" w:cs="Times New Roman"/>
                <w:sz w:val="20"/>
                <w:szCs w:val="20"/>
              </w:rPr>
            </w:pPr>
            <w:r>
              <w:rPr>
                <w:sz w:val="20"/>
                <w:szCs w:val="20"/>
              </w:rPr>
              <w:t>Contact Name</w:t>
            </w:r>
          </w:p>
        </w:tc>
        <w:tc>
          <w:tcPr>
            <w:tcW w:w="7389" w:type="dxa"/>
            <w:gridSpan w:val="7"/>
            <w:hideMark/>
          </w:tcPr>
          <w:p w14:paraId="328D5960" w14:textId="77777777" w:rsidR="006B3FCE" w:rsidRDefault="006B3FCE">
            <w:pPr>
              <w:rPr>
                <w:rFonts w:ascii="Times New Roman" w:eastAsia="宋体" w:hAnsi="Times New Roman" w:cs="Times New Roman"/>
                <w:sz w:val="20"/>
                <w:szCs w:val="20"/>
              </w:rPr>
            </w:pPr>
            <w:r>
              <w:rPr>
                <w:sz w:val="20"/>
                <w:szCs w:val="20"/>
              </w:rPr>
              <w:t>Mr./Ms.</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B3FCE" w14:paraId="6A81C642" w14:textId="77777777" w:rsidTr="008C6324">
        <w:tc>
          <w:tcPr>
            <w:tcW w:w="818" w:type="dxa"/>
            <w:gridSpan w:val="2"/>
            <w:hideMark/>
          </w:tcPr>
          <w:p w14:paraId="7240242A" w14:textId="77777777" w:rsidR="006B3FCE" w:rsidRDefault="006B3FCE">
            <w:pPr>
              <w:rPr>
                <w:rFonts w:ascii="Times New Roman" w:eastAsia="宋体" w:hAnsi="Times New Roman" w:cs="Times New Roman"/>
                <w:sz w:val="20"/>
                <w:szCs w:val="20"/>
              </w:rPr>
            </w:pPr>
            <w:r>
              <w:rPr>
                <w:sz w:val="20"/>
                <w:szCs w:val="20"/>
              </w:rPr>
              <w:t>Phone</w:t>
            </w:r>
          </w:p>
        </w:tc>
        <w:tc>
          <w:tcPr>
            <w:tcW w:w="2412" w:type="dxa"/>
            <w:gridSpan w:val="4"/>
            <w:hideMark/>
          </w:tcPr>
          <w:p w14:paraId="21B866A8" w14:textId="77777777" w:rsidR="006B3FCE" w:rsidRDefault="006B3FCE">
            <w:pPr>
              <w:rPr>
                <w:rFonts w:ascii="Times New Roman" w:eastAsia="宋体" w:hAnsi="Times New Roman" w:cs="Times New Roman"/>
                <w:sz w:val="20"/>
                <w:szCs w:val="20"/>
              </w:rPr>
            </w:pPr>
            <w:r>
              <w:rPr>
                <w:sz w:val="20"/>
                <w:szCs w:val="20"/>
              </w:rPr>
              <w:fldChar w:fldCharType="begin">
                <w:ffData>
                  <w:name w:val="Text3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66" w:type="dxa"/>
            <w:hideMark/>
          </w:tcPr>
          <w:p w14:paraId="3A46F733" w14:textId="77777777" w:rsidR="006B3FCE" w:rsidRDefault="006B3FCE">
            <w:pPr>
              <w:rPr>
                <w:rFonts w:ascii="Times New Roman" w:eastAsia="宋体" w:hAnsi="Times New Roman" w:cs="Times New Roman"/>
                <w:sz w:val="20"/>
                <w:szCs w:val="20"/>
              </w:rPr>
            </w:pPr>
            <w:r>
              <w:rPr>
                <w:sz w:val="20"/>
                <w:szCs w:val="20"/>
              </w:rPr>
              <w:t>Fax</w:t>
            </w:r>
          </w:p>
        </w:tc>
        <w:tc>
          <w:tcPr>
            <w:tcW w:w="4429" w:type="dxa"/>
            <w:gridSpan w:val="3"/>
            <w:hideMark/>
          </w:tcPr>
          <w:p w14:paraId="4F8633E5" w14:textId="77777777" w:rsidR="006B3FCE" w:rsidRDefault="006B3FCE">
            <w:pPr>
              <w:rPr>
                <w:rFonts w:ascii="Times New Roman" w:eastAsia="宋体" w:hAnsi="Times New Roman" w:cs="Times New Roman"/>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B3FCE" w14:paraId="54E08C81" w14:textId="77777777" w:rsidTr="00DB7178">
        <w:tc>
          <w:tcPr>
            <w:tcW w:w="1538" w:type="dxa"/>
            <w:gridSpan w:val="3"/>
            <w:hideMark/>
          </w:tcPr>
          <w:p w14:paraId="0F9FCBAA" w14:textId="77777777" w:rsidR="006B3FCE" w:rsidRDefault="006B3FCE">
            <w:pPr>
              <w:rPr>
                <w:rFonts w:ascii="Times New Roman" w:eastAsia="宋体" w:hAnsi="Times New Roman" w:cs="Times New Roman"/>
                <w:sz w:val="20"/>
                <w:szCs w:val="20"/>
              </w:rPr>
            </w:pPr>
            <w:r>
              <w:rPr>
                <w:sz w:val="20"/>
                <w:szCs w:val="20"/>
              </w:rPr>
              <w:t>Mailing Address</w:t>
            </w:r>
          </w:p>
        </w:tc>
        <w:tc>
          <w:tcPr>
            <w:tcW w:w="7387" w:type="dxa"/>
            <w:gridSpan w:val="7"/>
            <w:hideMark/>
          </w:tcPr>
          <w:p w14:paraId="0054EBA3" w14:textId="77777777" w:rsidR="006B3FCE" w:rsidRDefault="006B3FCE">
            <w:pPr>
              <w:rPr>
                <w:rFonts w:ascii="Times New Roman" w:eastAsia="宋体" w:hAnsi="Times New Roman" w:cs="Times New Roman"/>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DB7178" w14:paraId="31012356" w14:textId="77777777" w:rsidTr="00DB7178">
        <w:tc>
          <w:tcPr>
            <w:tcW w:w="1538" w:type="dxa"/>
            <w:gridSpan w:val="3"/>
          </w:tcPr>
          <w:p w14:paraId="0E6F393E" w14:textId="7A8716B5" w:rsidR="00DB7178" w:rsidRDefault="00DB7178">
            <w:pPr>
              <w:rPr>
                <w:sz w:val="20"/>
                <w:szCs w:val="20"/>
              </w:rPr>
            </w:pPr>
            <w:r>
              <w:rPr>
                <w:rFonts w:hint="eastAsia"/>
                <w:sz w:val="20"/>
                <w:szCs w:val="20"/>
              </w:rPr>
              <w:t>Email Address</w:t>
            </w:r>
          </w:p>
        </w:tc>
        <w:tc>
          <w:tcPr>
            <w:tcW w:w="7387" w:type="dxa"/>
            <w:gridSpan w:val="7"/>
          </w:tcPr>
          <w:p w14:paraId="5BF3BF5C" w14:textId="51DD8CC2" w:rsidR="00DB7178" w:rsidRDefault="00DB7178">
            <w:pP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B3FCE" w14:paraId="5FD0FFCC" w14:textId="77777777" w:rsidTr="008C6324">
        <w:tc>
          <w:tcPr>
            <w:tcW w:w="723" w:type="dxa"/>
            <w:hideMark/>
          </w:tcPr>
          <w:p w14:paraId="457B04DC" w14:textId="77777777" w:rsidR="006B3FCE" w:rsidRDefault="006B3FCE">
            <w:pPr>
              <w:rPr>
                <w:rFonts w:ascii="Times New Roman" w:eastAsia="宋体" w:hAnsi="Times New Roman" w:cs="Times New Roman"/>
                <w:sz w:val="20"/>
                <w:szCs w:val="20"/>
              </w:rPr>
            </w:pPr>
            <w:r>
              <w:rPr>
                <w:sz w:val="20"/>
                <w:szCs w:val="20"/>
              </w:rPr>
              <w:t>City</w:t>
            </w:r>
          </w:p>
        </w:tc>
        <w:tc>
          <w:tcPr>
            <w:tcW w:w="2499" w:type="dxa"/>
            <w:gridSpan w:val="5"/>
            <w:hideMark/>
          </w:tcPr>
          <w:p w14:paraId="1B76458A" w14:textId="77777777" w:rsidR="006B3FCE" w:rsidRDefault="006B3FCE">
            <w:pPr>
              <w:rPr>
                <w:rFonts w:ascii="Times New Roman" w:eastAsia="宋体" w:hAnsi="Times New Roman" w:cs="Times New Roman"/>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74" w:type="dxa"/>
            <w:hideMark/>
          </w:tcPr>
          <w:p w14:paraId="23567BE7" w14:textId="77777777" w:rsidR="006B3FCE" w:rsidRDefault="006B3FCE">
            <w:pPr>
              <w:rPr>
                <w:rFonts w:ascii="Times New Roman" w:eastAsia="宋体" w:hAnsi="Times New Roman" w:cs="Times New Roman"/>
                <w:sz w:val="20"/>
                <w:szCs w:val="20"/>
              </w:rPr>
            </w:pPr>
            <w:r>
              <w:rPr>
                <w:sz w:val="20"/>
                <w:szCs w:val="20"/>
              </w:rPr>
              <w:t>Post Code</w:t>
            </w:r>
          </w:p>
        </w:tc>
        <w:tc>
          <w:tcPr>
            <w:tcW w:w="4429" w:type="dxa"/>
            <w:gridSpan w:val="3"/>
            <w:hideMark/>
          </w:tcPr>
          <w:p w14:paraId="47DC0C4F" w14:textId="77777777" w:rsidR="006B3FCE" w:rsidRDefault="006B3FCE">
            <w:pPr>
              <w:rPr>
                <w:rFonts w:ascii="Times New Roman" w:eastAsia="宋体" w:hAnsi="Times New Roman" w:cs="Times New Roman"/>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rFonts w:eastAsia="MS Mincho"/>
                <w:noProof/>
                <w:sz w:val="20"/>
                <w:szCs w:val="20"/>
              </w:rPr>
              <w:t> </w:t>
            </w:r>
            <w:r>
              <w:rPr>
                <w:rFonts w:eastAsia="MS Mincho"/>
                <w:noProof/>
                <w:sz w:val="20"/>
                <w:szCs w:val="20"/>
              </w:rPr>
              <w:t> </w:t>
            </w:r>
            <w:r>
              <w:rPr>
                <w:rFonts w:eastAsia="MS Mincho"/>
                <w:noProof/>
                <w:sz w:val="20"/>
                <w:szCs w:val="20"/>
              </w:rPr>
              <w:t> </w:t>
            </w:r>
            <w:r>
              <w:rPr>
                <w:sz w:val="20"/>
                <w:szCs w:val="20"/>
              </w:rPr>
              <w:fldChar w:fldCharType="end"/>
            </w:r>
          </w:p>
        </w:tc>
      </w:tr>
      <w:tr w:rsidR="004862FB" w14:paraId="396CF5D0" w14:textId="77777777" w:rsidTr="00827B28">
        <w:tc>
          <w:tcPr>
            <w:tcW w:w="8925" w:type="dxa"/>
            <w:gridSpan w:val="10"/>
          </w:tcPr>
          <w:p w14:paraId="6FF231CA" w14:textId="77777777" w:rsidR="004862FB" w:rsidRDefault="004862FB" w:rsidP="004862FB">
            <w:pPr>
              <w:rPr>
                <w:sz w:val="20"/>
                <w:szCs w:val="20"/>
              </w:rPr>
            </w:pPr>
            <w:r>
              <w:rPr>
                <w:rFonts w:hint="eastAsia"/>
                <w:sz w:val="20"/>
                <w:szCs w:val="20"/>
              </w:rPr>
              <w:t>For merchants only</w:t>
            </w:r>
          </w:p>
        </w:tc>
      </w:tr>
      <w:tr w:rsidR="00AF427B" w14:paraId="6EE99780" w14:textId="77777777" w:rsidTr="008C6324">
        <w:tc>
          <w:tcPr>
            <w:tcW w:w="1809" w:type="dxa"/>
            <w:gridSpan w:val="5"/>
            <w:hideMark/>
          </w:tcPr>
          <w:p w14:paraId="241F07E7" w14:textId="77777777" w:rsidR="00AF427B" w:rsidRPr="00DB7178" w:rsidRDefault="00AF427B" w:rsidP="00827B28">
            <w:pPr>
              <w:rPr>
                <w:sz w:val="20"/>
                <w:szCs w:val="20"/>
              </w:rPr>
            </w:pPr>
            <w:r>
              <w:rPr>
                <w:rFonts w:hint="eastAsia"/>
                <w:sz w:val="20"/>
                <w:szCs w:val="20"/>
              </w:rPr>
              <w:t>Merchant</w:t>
            </w:r>
            <w:r>
              <w:rPr>
                <w:sz w:val="20"/>
                <w:szCs w:val="20"/>
              </w:rPr>
              <w:t xml:space="preserve"> Name</w:t>
            </w:r>
          </w:p>
        </w:tc>
        <w:tc>
          <w:tcPr>
            <w:tcW w:w="1413" w:type="dxa"/>
            <w:hideMark/>
          </w:tcPr>
          <w:p w14:paraId="557EEC81" w14:textId="77777777" w:rsidR="00AF427B" w:rsidRPr="00DB7178" w:rsidRDefault="00AF427B" w:rsidP="00827B28">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74" w:type="dxa"/>
            <w:hideMark/>
          </w:tcPr>
          <w:p w14:paraId="0143E490" w14:textId="77777777" w:rsidR="00AF427B" w:rsidRPr="00DB7178" w:rsidRDefault="00AF427B" w:rsidP="00827B28">
            <w:pPr>
              <w:rPr>
                <w:sz w:val="20"/>
                <w:szCs w:val="20"/>
              </w:rPr>
            </w:pPr>
            <w:r>
              <w:rPr>
                <w:rFonts w:hint="eastAsia"/>
                <w:sz w:val="20"/>
                <w:szCs w:val="20"/>
              </w:rPr>
              <w:t>Merchant ID</w:t>
            </w:r>
          </w:p>
        </w:tc>
        <w:tc>
          <w:tcPr>
            <w:tcW w:w="1338" w:type="dxa"/>
            <w:hideMark/>
          </w:tcPr>
          <w:p w14:paraId="24A417AB" w14:textId="77777777" w:rsidR="00AF427B" w:rsidRPr="00DB7178" w:rsidRDefault="00AF427B" w:rsidP="00827B28">
            <w:pPr>
              <w:rPr>
                <w:sz w:val="20"/>
                <w:szCs w:val="20"/>
              </w:rPr>
            </w:pPr>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sidRPr="00DB7178">
              <w:rPr>
                <w:sz w:val="20"/>
                <w:szCs w:val="20"/>
              </w:rPr>
              <w:t> </w:t>
            </w:r>
            <w:r w:rsidRPr="00DB7178">
              <w:rPr>
                <w:sz w:val="20"/>
                <w:szCs w:val="20"/>
              </w:rPr>
              <w:t> </w:t>
            </w:r>
            <w:r w:rsidRPr="00DB7178">
              <w:rPr>
                <w:sz w:val="20"/>
                <w:szCs w:val="20"/>
              </w:rPr>
              <w:t> </w:t>
            </w:r>
            <w:r>
              <w:rPr>
                <w:sz w:val="20"/>
                <w:szCs w:val="20"/>
              </w:rPr>
              <w:fldChar w:fldCharType="end"/>
            </w:r>
          </w:p>
        </w:tc>
        <w:tc>
          <w:tcPr>
            <w:tcW w:w="1079" w:type="dxa"/>
          </w:tcPr>
          <w:p w14:paraId="462CCD2B" w14:textId="77777777" w:rsidR="00AF427B" w:rsidRPr="00DB7178" w:rsidRDefault="00AF427B" w:rsidP="00AF427B">
            <w:pPr>
              <w:rPr>
                <w:sz w:val="20"/>
                <w:szCs w:val="20"/>
              </w:rPr>
            </w:pPr>
            <w:r w:rsidRPr="00DB7178">
              <w:rPr>
                <w:rFonts w:hint="eastAsia"/>
                <w:sz w:val="20"/>
                <w:szCs w:val="20"/>
              </w:rPr>
              <w:t>Acquirer</w:t>
            </w:r>
          </w:p>
        </w:tc>
        <w:tc>
          <w:tcPr>
            <w:tcW w:w="2012" w:type="dxa"/>
          </w:tcPr>
          <w:p w14:paraId="3FC7CBFE" w14:textId="77777777" w:rsidR="00AF427B" w:rsidRPr="00DB7178" w:rsidRDefault="00AF427B" w:rsidP="00AF427B">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8C6324" w14:paraId="0B3C15D5" w14:textId="3FFCDB8F" w:rsidTr="008C6324">
        <w:trPr>
          <w:trHeight w:val="340"/>
        </w:trPr>
        <w:tc>
          <w:tcPr>
            <w:tcW w:w="3222" w:type="dxa"/>
            <w:gridSpan w:val="6"/>
            <w:shd w:val="clear" w:color="auto" w:fill="000000" w:themeFill="text1"/>
          </w:tcPr>
          <w:p w14:paraId="7AAE4939" w14:textId="64EC26F3" w:rsidR="008C6324" w:rsidRPr="00DB7178" w:rsidRDefault="008C6324" w:rsidP="00AF427B">
            <w:pPr>
              <w:rPr>
                <w:sz w:val="20"/>
                <w:szCs w:val="20"/>
              </w:rPr>
            </w:pPr>
            <w:r w:rsidRPr="00DB7178">
              <w:rPr>
                <w:rFonts w:hint="eastAsia"/>
                <w:sz w:val="20"/>
                <w:szCs w:val="20"/>
              </w:rPr>
              <w:t>Date Merchant Spoke with Acquirer</w:t>
            </w:r>
          </w:p>
        </w:tc>
        <w:tc>
          <w:tcPr>
            <w:tcW w:w="1274" w:type="dxa"/>
            <w:shd w:val="clear" w:color="auto" w:fill="000000" w:themeFill="text1"/>
          </w:tcPr>
          <w:p w14:paraId="5CA1593F" w14:textId="3EA096FD" w:rsidR="008C6324" w:rsidRPr="00DB7178" w:rsidRDefault="008C6324" w:rsidP="00035232">
            <w:pPr>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417" w:type="dxa"/>
            <w:gridSpan w:val="2"/>
            <w:shd w:val="clear" w:color="auto" w:fill="000000" w:themeFill="text1"/>
          </w:tcPr>
          <w:p w14:paraId="1A63B241" w14:textId="23D56793" w:rsidR="008C6324" w:rsidRPr="00DB7178" w:rsidRDefault="008C6324" w:rsidP="008C6324">
            <w:pPr>
              <w:jc w:val="left"/>
              <w:rPr>
                <w:sz w:val="20"/>
                <w:szCs w:val="20"/>
              </w:rPr>
            </w:pPr>
            <w:r w:rsidRPr="00DB7178">
              <w:rPr>
                <w:rFonts w:hint="eastAsia"/>
                <w:sz w:val="20"/>
                <w:szCs w:val="20"/>
              </w:rPr>
              <w:t>Name of Acquirer Representative</w:t>
            </w:r>
          </w:p>
        </w:tc>
        <w:tc>
          <w:tcPr>
            <w:tcW w:w="2012" w:type="dxa"/>
            <w:shd w:val="clear" w:color="auto" w:fill="000000" w:themeFill="text1"/>
          </w:tcPr>
          <w:p w14:paraId="627FD600" w14:textId="48EA0340" w:rsidR="008C6324" w:rsidRPr="00DB7178" w:rsidRDefault="008C6324" w:rsidP="008C6324">
            <w:pPr>
              <w:rPr>
                <w:sz w:val="20"/>
                <w:szCs w:val="20"/>
              </w:rPr>
            </w:pPr>
            <w:r>
              <w:rPr>
                <w:sz w:val="20"/>
                <w:szCs w:val="20"/>
              </w:rPr>
              <w:fldChar w:fldCharType="begin">
                <w:ffData>
                  <w:name w:val="Text3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8C6324" w14:paraId="27856A8F" w14:textId="6A671012" w:rsidTr="008C6324">
        <w:trPr>
          <w:trHeight w:val="340"/>
        </w:trPr>
        <w:tc>
          <w:tcPr>
            <w:tcW w:w="3225" w:type="dxa"/>
            <w:gridSpan w:val="6"/>
            <w:shd w:val="clear" w:color="auto" w:fill="000000" w:themeFill="text1"/>
          </w:tcPr>
          <w:p w14:paraId="6829D2B5" w14:textId="65D47F2C" w:rsidR="008C6324" w:rsidRPr="008C6324" w:rsidRDefault="008C6324" w:rsidP="00035232">
            <w:pPr>
              <w:rPr>
                <w:sz w:val="20"/>
                <w:szCs w:val="20"/>
              </w:rPr>
            </w:pPr>
            <w:r w:rsidRPr="008C6324">
              <w:rPr>
                <w:rFonts w:hint="eastAsia"/>
                <w:sz w:val="20"/>
                <w:szCs w:val="20"/>
              </w:rPr>
              <w:t>Name of Payment Processor</w:t>
            </w:r>
          </w:p>
        </w:tc>
        <w:tc>
          <w:tcPr>
            <w:tcW w:w="5700" w:type="dxa"/>
            <w:gridSpan w:val="4"/>
            <w:shd w:val="clear" w:color="auto" w:fill="000000" w:themeFill="text1"/>
          </w:tcPr>
          <w:p w14:paraId="0EE0728F" w14:textId="262DE6B0" w:rsidR="008C6324" w:rsidRPr="00E55D0F" w:rsidRDefault="008C6324" w:rsidP="00035232">
            <w:pPr>
              <w:rPr>
                <w:b/>
                <w:color w:val="FFFFFF"/>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8C6324" w14:paraId="70248969" w14:textId="0814131E" w:rsidTr="0093724F">
        <w:trPr>
          <w:trHeight w:val="340"/>
        </w:trPr>
        <w:tc>
          <w:tcPr>
            <w:tcW w:w="8925" w:type="dxa"/>
            <w:gridSpan w:val="10"/>
            <w:shd w:val="clear" w:color="auto" w:fill="000000" w:themeFill="text1"/>
          </w:tcPr>
          <w:p w14:paraId="052E0B71" w14:textId="089F565C" w:rsidR="008C6324" w:rsidRDefault="008C6324" w:rsidP="008C6324">
            <w:pPr>
              <w:rPr>
                <w:sz w:val="20"/>
                <w:szCs w:val="20"/>
              </w:rPr>
            </w:pPr>
            <w:r w:rsidRPr="00E55D0F">
              <w:rPr>
                <w:rFonts w:hint="eastAsia"/>
                <w:b/>
                <w:color w:val="FFFFFF"/>
              </w:rPr>
              <w:t>2-Complaint Items</w:t>
            </w:r>
          </w:p>
        </w:tc>
      </w:tr>
      <w:tr w:rsidR="00E55D0F" w14:paraId="72E2C0B3" w14:textId="77777777" w:rsidTr="00827B28">
        <w:trPr>
          <w:trHeight w:val="600"/>
        </w:trPr>
        <w:tc>
          <w:tcPr>
            <w:tcW w:w="8925" w:type="dxa"/>
            <w:gridSpan w:val="10"/>
          </w:tcPr>
          <w:p w14:paraId="44B87163" w14:textId="77777777" w:rsidR="00E55D0F" w:rsidRPr="00E55D0F" w:rsidRDefault="00E55D0F" w:rsidP="00AF427B">
            <w:pPr>
              <w:rPr>
                <w:b/>
                <w:color w:val="FFFFFF"/>
              </w:rPr>
            </w:pPr>
            <w:r>
              <w:rPr>
                <w:rFonts w:hint="eastAsia"/>
                <w:sz w:val="20"/>
                <w:szCs w:val="20"/>
              </w:rPr>
              <w:t xml:space="preserve">Choose at least one of the following options. </w:t>
            </w:r>
            <w:r>
              <w:rPr>
                <w:sz w:val="20"/>
                <w:szCs w:val="20"/>
              </w:rPr>
              <w:t>M</w:t>
            </w:r>
            <w:r>
              <w:rPr>
                <w:rFonts w:hint="eastAsia"/>
                <w:sz w:val="20"/>
                <w:szCs w:val="20"/>
              </w:rPr>
              <w:t xml:space="preserve">ultiple options can be selected if you believe your acquirer had </w:t>
            </w:r>
            <w:r>
              <w:rPr>
                <w:sz w:val="20"/>
                <w:szCs w:val="20"/>
              </w:rPr>
              <w:t>multiple</w:t>
            </w:r>
            <w:r>
              <w:rPr>
                <w:rFonts w:hint="eastAsia"/>
                <w:sz w:val="20"/>
                <w:szCs w:val="20"/>
              </w:rPr>
              <w:t xml:space="preserve"> violations. </w:t>
            </w:r>
          </w:p>
        </w:tc>
      </w:tr>
      <w:tr w:rsidR="00046C6A" w14:paraId="296BE5E9" w14:textId="77777777" w:rsidTr="008C6324">
        <w:trPr>
          <w:trHeight w:val="180"/>
        </w:trPr>
        <w:tc>
          <w:tcPr>
            <w:tcW w:w="1725" w:type="dxa"/>
            <w:gridSpan w:val="4"/>
          </w:tcPr>
          <w:p w14:paraId="000775C9" w14:textId="77777777" w:rsidR="00046C6A" w:rsidRDefault="00914E6D" w:rsidP="00AF427B">
            <w:pPr>
              <w:rPr>
                <w:sz w:val="20"/>
                <w:szCs w:val="20"/>
              </w:rPr>
            </w:pPr>
            <w:r>
              <w:rPr>
                <w:sz w:val="20"/>
                <w:szCs w:val="20"/>
              </w:rPr>
              <w:fldChar w:fldCharType="begin">
                <w:ffData>
                  <w:name w:val="选中2"/>
                  <w:enabled/>
                  <w:calcOnExit w:val="0"/>
                  <w:checkBox>
                    <w:sizeAuto/>
                    <w:default w:val="0"/>
                  </w:checkBox>
                </w:ffData>
              </w:fldChar>
            </w:r>
            <w:bookmarkStart w:id="1" w:name="选中2"/>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1"/>
            <w:r w:rsidR="008934B9">
              <w:rPr>
                <w:rFonts w:hint="eastAsia"/>
                <w:sz w:val="20"/>
                <w:szCs w:val="20"/>
              </w:rPr>
              <w:t xml:space="preserve"> Element1</w:t>
            </w:r>
          </w:p>
        </w:tc>
        <w:tc>
          <w:tcPr>
            <w:tcW w:w="7200" w:type="dxa"/>
            <w:gridSpan w:val="6"/>
          </w:tcPr>
          <w:p w14:paraId="393E6315" w14:textId="77777777" w:rsidR="00046C6A" w:rsidRDefault="00B9724D" w:rsidP="00AF427B">
            <w:pPr>
              <w:rPr>
                <w:sz w:val="20"/>
                <w:szCs w:val="20"/>
              </w:rPr>
            </w:pPr>
            <w:r w:rsidRPr="00B9724D">
              <w:rPr>
                <w:sz w:val="20"/>
                <w:szCs w:val="20"/>
              </w:rPr>
              <w:t>Increased Transparency and Disclosure by Payment Card Networks and Acquirers to Merchants.</w:t>
            </w:r>
          </w:p>
        </w:tc>
      </w:tr>
      <w:tr w:rsidR="00046C6A" w14:paraId="4FECD73C" w14:textId="77777777" w:rsidTr="008C6324">
        <w:trPr>
          <w:trHeight w:val="326"/>
        </w:trPr>
        <w:tc>
          <w:tcPr>
            <w:tcW w:w="1725" w:type="dxa"/>
            <w:gridSpan w:val="4"/>
          </w:tcPr>
          <w:p w14:paraId="2B5FF57C" w14:textId="77777777" w:rsidR="00046C6A" w:rsidRDefault="00914E6D" w:rsidP="00AF427B">
            <w:pPr>
              <w:rPr>
                <w:sz w:val="20"/>
                <w:szCs w:val="20"/>
              </w:rPr>
            </w:pPr>
            <w:r>
              <w:rPr>
                <w:sz w:val="20"/>
                <w:szCs w:val="20"/>
              </w:rPr>
              <w:fldChar w:fldCharType="begin">
                <w:ffData>
                  <w:name w:val="选中3"/>
                  <w:enabled/>
                  <w:calcOnExit w:val="0"/>
                  <w:checkBox>
                    <w:sizeAuto/>
                    <w:default w:val="0"/>
                  </w:checkBox>
                </w:ffData>
              </w:fldChar>
            </w:r>
            <w:bookmarkStart w:id="2" w:name="选中3"/>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2"/>
            <w:r w:rsidR="008934B9">
              <w:rPr>
                <w:rFonts w:hint="eastAsia"/>
                <w:sz w:val="20"/>
                <w:szCs w:val="20"/>
              </w:rPr>
              <w:t xml:space="preserve"> Element2</w:t>
            </w:r>
          </w:p>
        </w:tc>
        <w:tc>
          <w:tcPr>
            <w:tcW w:w="7200" w:type="dxa"/>
            <w:gridSpan w:val="6"/>
          </w:tcPr>
          <w:p w14:paraId="1B5967B9" w14:textId="77777777" w:rsidR="00046C6A" w:rsidRDefault="00B9724D" w:rsidP="00AF427B">
            <w:pPr>
              <w:rPr>
                <w:sz w:val="20"/>
                <w:szCs w:val="20"/>
              </w:rPr>
            </w:pPr>
            <w:r>
              <w:rPr>
                <w:rFonts w:hint="eastAsia"/>
                <w:sz w:val="20"/>
                <w:szCs w:val="20"/>
              </w:rPr>
              <w:t>M</w:t>
            </w:r>
            <w:r w:rsidRPr="00B9724D">
              <w:rPr>
                <w:sz w:val="20"/>
                <w:szCs w:val="20"/>
              </w:rPr>
              <w:t>erchants will receive a minimum of 90 days’ notice of any fee increases or the introduction of a new fee related to any credit or debit card transactions, or a reduction in applicable interchange rates.</w:t>
            </w:r>
          </w:p>
        </w:tc>
      </w:tr>
      <w:tr w:rsidR="00046C6A" w14:paraId="53C148CD" w14:textId="77777777" w:rsidTr="008C6324">
        <w:trPr>
          <w:trHeight w:val="160"/>
        </w:trPr>
        <w:tc>
          <w:tcPr>
            <w:tcW w:w="1725" w:type="dxa"/>
            <w:gridSpan w:val="4"/>
          </w:tcPr>
          <w:p w14:paraId="4C09E706" w14:textId="77777777" w:rsidR="00046C6A" w:rsidRDefault="00914E6D" w:rsidP="00AF427B">
            <w:pPr>
              <w:rPr>
                <w:sz w:val="20"/>
                <w:szCs w:val="20"/>
              </w:rPr>
            </w:pPr>
            <w:r>
              <w:rPr>
                <w:sz w:val="20"/>
                <w:szCs w:val="20"/>
              </w:rPr>
              <w:fldChar w:fldCharType="begin">
                <w:ffData>
                  <w:name w:val="选中4"/>
                  <w:enabled/>
                  <w:calcOnExit w:val="0"/>
                  <w:checkBox>
                    <w:sizeAuto/>
                    <w:default w:val="0"/>
                    <w:checked w:val="0"/>
                  </w:checkBox>
                </w:ffData>
              </w:fldChar>
            </w:r>
            <w:bookmarkStart w:id="3" w:name="选中4"/>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3"/>
            <w:r w:rsidR="008934B9">
              <w:rPr>
                <w:rFonts w:hint="eastAsia"/>
                <w:sz w:val="20"/>
                <w:szCs w:val="20"/>
              </w:rPr>
              <w:t xml:space="preserve"> Element 3</w:t>
            </w:r>
          </w:p>
        </w:tc>
        <w:tc>
          <w:tcPr>
            <w:tcW w:w="7200" w:type="dxa"/>
            <w:gridSpan w:val="6"/>
          </w:tcPr>
          <w:p w14:paraId="32F09CEF" w14:textId="77777777" w:rsidR="00046C6A" w:rsidRDefault="005B34CD" w:rsidP="00AF427B">
            <w:pPr>
              <w:rPr>
                <w:sz w:val="20"/>
                <w:szCs w:val="20"/>
              </w:rPr>
            </w:pPr>
            <w:r>
              <w:rPr>
                <w:rFonts w:hint="eastAsia"/>
                <w:sz w:val="20"/>
                <w:szCs w:val="20"/>
              </w:rPr>
              <w:t>F</w:t>
            </w:r>
            <w:r w:rsidRPr="005B34CD">
              <w:rPr>
                <w:sz w:val="20"/>
                <w:szCs w:val="20"/>
              </w:rPr>
              <w:t>ollowing notification of a fee increase or the introduction of a new fee, or a reduction in applicable interchange rates not passed on to merchants, merchants will be allowed to cancel their contracts without penalty.</w:t>
            </w:r>
          </w:p>
        </w:tc>
      </w:tr>
      <w:tr w:rsidR="00046C6A" w14:paraId="08A0C76A" w14:textId="77777777" w:rsidTr="008C6324">
        <w:trPr>
          <w:trHeight w:val="200"/>
        </w:trPr>
        <w:tc>
          <w:tcPr>
            <w:tcW w:w="1725" w:type="dxa"/>
            <w:gridSpan w:val="4"/>
          </w:tcPr>
          <w:p w14:paraId="3912C15B" w14:textId="77777777" w:rsidR="00046C6A" w:rsidRDefault="00914E6D" w:rsidP="00AF427B">
            <w:pPr>
              <w:rPr>
                <w:sz w:val="20"/>
                <w:szCs w:val="20"/>
              </w:rPr>
            </w:pPr>
            <w:r>
              <w:rPr>
                <w:sz w:val="20"/>
                <w:szCs w:val="20"/>
              </w:rPr>
              <w:fldChar w:fldCharType="begin">
                <w:ffData>
                  <w:name w:val="选中5"/>
                  <w:enabled/>
                  <w:calcOnExit w:val="0"/>
                  <w:checkBox>
                    <w:sizeAuto/>
                    <w:default w:val="0"/>
                    <w:checked w:val="0"/>
                  </w:checkBox>
                </w:ffData>
              </w:fldChar>
            </w:r>
            <w:bookmarkStart w:id="4" w:name="选中5"/>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4"/>
            <w:r w:rsidR="008934B9">
              <w:rPr>
                <w:rFonts w:hint="eastAsia"/>
                <w:sz w:val="20"/>
                <w:szCs w:val="20"/>
              </w:rPr>
              <w:t xml:space="preserve"> Element 4</w:t>
            </w:r>
          </w:p>
        </w:tc>
        <w:tc>
          <w:tcPr>
            <w:tcW w:w="7200" w:type="dxa"/>
            <w:gridSpan w:val="6"/>
          </w:tcPr>
          <w:p w14:paraId="1F909494" w14:textId="77777777" w:rsidR="00046C6A" w:rsidRDefault="005B34CD" w:rsidP="00AF427B">
            <w:pPr>
              <w:rPr>
                <w:sz w:val="20"/>
                <w:szCs w:val="20"/>
              </w:rPr>
            </w:pPr>
            <w:r>
              <w:rPr>
                <w:rFonts w:hint="eastAsia"/>
                <w:sz w:val="20"/>
                <w:szCs w:val="20"/>
              </w:rPr>
              <w:t>M</w:t>
            </w:r>
            <w:r w:rsidRPr="005B34CD">
              <w:rPr>
                <w:sz w:val="20"/>
                <w:szCs w:val="20"/>
              </w:rPr>
              <w:t>erchants who accept credit card payments from a particular network will not be obligated to accept debit card payments from that same payment card network, and vice versa.</w:t>
            </w:r>
          </w:p>
        </w:tc>
      </w:tr>
      <w:tr w:rsidR="00046C6A" w14:paraId="7C71C245" w14:textId="77777777" w:rsidTr="008C6324">
        <w:trPr>
          <w:trHeight w:val="142"/>
        </w:trPr>
        <w:tc>
          <w:tcPr>
            <w:tcW w:w="1725" w:type="dxa"/>
            <w:gridSpan w:val="4"/>
          </w:tcPr>
          <w:p w14:paraId="1B0ED23A" w14:textId="77777777" w:rsidR="00046C6A" w:rsidRDefault="00914E6D" w:rsidP="00AF427B">
            <w:pPr>
              <w:rPr>
                <w:sz w:val="20"/>
                <w:szCs w:val="20"/>
              </w:rPr>
            </w:pPr>
            <w:r>
              <w:rPr>
                <w:sz w:val="20"/>
                <w:szCs w:val="20"/>
              </w:rPr>
              <w:fldChar w:fldCharType="begin">
                <w:ffData>
                  <w:name w:val="选中6"/>
                  <w:enabled/>
                  <w:calcOnExit w:val="0"/>
                  <w:checkBox>
                    <w:sizeAuto/>
                    <w:default w:val="0"/>
                  </w:checkBox>
                </w:ffData>
              </w:fldChar>
            </w:r>
            <w:bookmarkStart w:id="5" w:name="选中6"/>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5"/>
            <w:r w:rsidR="008934B9">
              <w:rPr>
                <w:rFonts w:hint="eastAsia"/>
                <w:sz w:val="20"/>
                <w:szCs w:val="20"/>
              </w:rPr>
              <w:t xml:space="preserve"> Element 5</w:t>
            </w:r>
          </w:p>
        </w:tc>
        <w:tc>
          <w:tcPr>
            <w:tcW w:w="7200" w:type="dxa"/>
            <w:gridSpan w:val="6"/>
          </w:tcPr>
          <w:p w14:paraId="22A3AEB3" w14:textId="6128E98D" w:rsidR="00046C6A" w:rsidRDefault="006A5049" w:rsidP="00AF427B">
            <w:pPr>
              <w:rPr>
                <w:sz w:val="20"/>
                <w:szCs w:val="20"/>
              </w:rPr>
            </w:pPr>
            <w:r>
              <w:rPr>
                <w:rFonts w:hint="eastAsia"/>
                <w:sz w:val="20"/>
                <w:szCs w:val="20"/>
              </w:rPr>
              <w:t>M</w:t>
            </w:r>
            <w:r w:rsidRPr="005B34CD">
              <w:rPr>
                <w:sz w:val="20"/>
                <w:szCs w:val="20"/>
              </w:rPr>
              <w:t xml:space="preserve">erchants </w:t>
            </w:r>
            <w:r w:rsidR="005B34CD" w:rsidRPr="005B34CD">
              <w:rPr>
                <w:sz w:val="20"/>
                <w:szCs w:val="20"/>
              </w:rPr>
              <w:t>will be allowed to provide discounts for different methods of payment (e.g. cash, debit card, credit card).  Merchants will also be allowed to provide differential discounts among different payment card networks.</w:t>
            </w:r>
          </w:p>
        </w:tc>
      </w:tr>
      <w:tr w:rsidR="00046C6A" w14:paraId="07F4B19B" w14:textId="77777777" w:rsidTr="008C6324">
        <w:trPr>
          <w:trHeight w:val="160"/>
        </w:trPr>
        <w:tc>
          <w:tcPr>
            <w:tcW w:w="1725" w:type="dxa"/>
            <w:gridSpan w:val="4"/>
          </w:tcPr>
          <w:p w14:paraId="3336C894" w14:textId="77777777" w:rsidR="00046C6A" w:rsidRDefault="00914E6D" w:rsidP="00AF427B">
            <w:pPr>
              <w:rPr>
                <w:sz w:val="20"/>
                <w:szCs w:val="20"/>
              </w:rPr>
            </w:pPr>
            <w:r>
              <w:rPr>
                <w:sz w:val="20"/>
                <w:szCs w:val="20"/>
              </w:rPr>
              <w:fldChar w:fldCharType="begin">
                <w:ffData>
                  <w:name w:val="选中7"/>
                  <w:enabled/>
                  <w:calcOnExit w:val="0"/>
                  <w:checkBox>
                    <w:sizeAuto/>
                    <w:default w:val="0"/>
                  </w:checkBox>
                </w:ffData>
              </w:fldChar>
            </w:r>
            <w:bookmarkStart w:id="6" w:name="选中7"/>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6"/>
            <w:r w:rsidR="00842B75">
              <w:rPr>
                <w:rFonts w:hint="eastAsia"/>
                <w:sz w:val="20"/>
                <w:szCs w:val="20"/>
              </w:rPr>
              <w:t xml:space="preserve"> Element 6</w:t>
            </w:r>
          </w:p>
        </w:tc>
        <w:tc>
          <w:tcPr>
            <w:tcW w:w="7200" w:type="dxa"/>
            <w:gridSpan w:val="6"/>
          </w:tcPr>
          <w:p w14:paraId="57B9A4D0" w14:textId="77777777" w:rsidR="00046C6A" w:rsidRPr="00345A3C" w:rsidRDefault="00345A3C" w:rsidP="00AF427B">
            <w:pPr>
              <w:rPr>
                <w:sz w:val="20"/>
                <w:szCs w:val="20"/>
                <w:lang w:val="en"/>
              </w:rPr>
            </w:pPr>
            <w:r w:rsidRPr="00345A3C">
              <w:rPr>
                <w:sz w:val="20"/>
                <w:szCs w:val="20"/>
                <w:lang w:val="en"/>
              </w:rPr>
              <w:t>Competing domestic applications from different networks shall not be offered on the same debit card. However, non-competing complementary domestic applications from different networks may exist on the same debit card. In mobile wallets or mobile devices, debit payment credentials from payment card networks must be represented as separate payment applets.</w:t>
            </w:r>
          </w:p>
        </w:tc>
      </w:tr>
      <w:tr w:rsidR="00046C6A" w14:paraId="02FAE41C" w14:textId="77777777" w:rsidTr="008C6324">
        <w:trPr>
          <w:trHeight w:val="132"/>
        </w:trPr>
        <w:tc>
          <w:tcPr>
            <w:tcW w:w="1725" w:type="dxa"/>
            <w:gridSpan w:val="4"/>
          </w:tcPr>
          <w:p w14:paraId="514E4C51" w14:textId="77777777" w:rsidR="00046C6A" w:rsidRDefault="00914E6D" w:rsidP="00AF427B">
            <w:pPr>
              <w:rPr>
                <w:sz w:val="20"/>
                <w:szCs w:val="20"/>
              </w:rPr>
            </w:pPr>
            <w:r>
              <w:rPr>
                <w:sz w:val="20"/>
                <w:szCs w:val="20"/>
              </w:rPr>
              <w:fldChar w:fldCharType="begin">
                <w:ffData>
                  <w:name w:val="选中1"/>
                  <w:enabled/>
                  <w:calcOnExit w:val="0"/>
                  <w:checkBox>
                    <w:sizeAuto/>
                    <w:default w:val="0"/>
                  </w:checkBox>
                </w:ffData>
              </w:fldChar>
            </w:r>
            <w:bookmarkStart w:id="7" w:name="选中1"/>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7"/>
            <w:r>
              <w:rPr>
                <w:rFonts w:hint="eastAsia"/>
                <w:sz w:val="20"/>
                <w:szCs w:val="20"/>
              </w:rPr>
              <w:t xml:space="preserve"> </w:t>
            </w:r>
            <w:r w:rsidR="003C3A3B">
              <w:rPr>
                <w:rFonts w:hint="eastAsia"/>
                <w:sz w:val="20"/>
                <w:szCs w:val="20"/>
              </w:rPr>
              <w:t>Element 7</w:t>
            </w:r>
          </w:p>
        </w:tc>
        <w:tc>
          <w:tcPr>
            <w:tcW w:w="7200" w:type="dxa"/>
            <w:gridSpan w:val="6"/>
          </w:tcPr>
          <w:p w14:paraId="43D2A46E" w14:textId="7994C18E" w:rsidR="00046C6A" w:rsidRDefault="006A5049" w:rsidP="00AF427B">
            <w:pPr>
              <w:rPr>
                <w:sz w:val="20"/>
                <w:szCs w:val="20"/>
              </w:rPr>
            </w:pPr>
            <w:r>
              <w:rPr>
                <w:rFonts w:hint="eastAsia"/>
                <w:sz w:val="20"/>
                <w:szCs w:val="20"/>
              </w:rPr>
              <w:t>C</w:t>
            </w:r>
            <w:r w:rsidRPr="00984644">
              <w:rPr>
                <w:sz w:val="20"/>
                <w:szCs w:val="20"/>
              </w:rPr>
              <w:t xml:space="preserve">o-badged </w:t>
            </w:r>
            <w:r w:rsidR="00984644" w:rsidRPr="00984644">
              <w:rPr>
                <w:sz w:val="20"/>
                <w:szCs w:val="20"/>
              </w:rPr>
              <w:t xml:space="preserve">debit cards are equally branded. All representations of payment applets in a mobile wallet or mobile device, and the payment card network brands associated </w:t>
            </w:r>
            <w:r w:rsidR="00984644" w:rsidRPr="00984644">
              <w:rPr>
                <w:sz w:val="20"/>
                <w:szCs w:val="20"/>
              </w:rPr>
              <w:lastRenderedPageBreak/>
              <w:t>with them, must be clearly identifiable and equally prominent.</w:t>
            </w:r>
          </w:p>
        </w:tc>
      </w:tr>
      <w:tr w:rsidR="00046C6A" w14:paraId="410B3C32" w14:textId="77777777" w:rsidTr="008C6324">
        <w:trPr>
          <w:trHeight w:val="170"/>
        </w:trPr>
        <w:tc>
          <w:tcPr>
            <w:tcW w:w="1725" w:type="dxa"/>
            <w:gridSpan w:val="4"/>
          </w:tcPr>
          <w:p w14:paraId="6E0DB8F9" w14:textId="77777777" w:rsidR="00046C6A" w:rsidRDefault="00914E6D" w:rsidP="00AF427B">
            <w:pPr>
              <w:rPr>
                <w:sz w:val="20"/>
                <w:szCs w:val="20"/>
              </w:rPr>
            </w:pPr>
            <w:r>
              <w:rPr>
                <w:sz w:val="20"/>
                <w:szCs w:val="20"/>
              </w:rPr>
              <w:lastRenderedPageBreak/>
              <w:fldChar w:fldCharType="begin">
                <w:ffData>
                  <w:name w:val="选中8"/>
                  <w:enabled/>
                  <w:calcOnExit w:val="0"/>
                  <w:checkBox>
                    <w:sizeAuto/>
                    <w:default w:val="0"/>
                  </w:checkBox>
                </w:ffData>
              </w:fldChar>
            </w:r>
            <w:bookmarkStart w:id="8" w:name="选中8"/>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8"/>
            <w:r w:rsidR="003C3A3B">
              <w:rPr>
                <w:rFonts w:hint="eastAsia"/>
                <w:sz w:val="20"/>
                <w:szCs w:val="20"/>
              </w:rPr>
              <w:t xml:space="preserve"> Element 8</w:t>
            </w:r>
          </w:p>
        </w:tc>
        <w:tc>
          <w:tcPr>
            <w:tcW w:w="7200" w:type="dxa"/>
            <w:gridSpan w:val="6"/>
          </w:tcPr>
          <w:p w14:paraId="1F7E0825" w14:textId="77777777" w:rsidR="00046C6A" w:rsidRDefault="00353053" w:rsidP="00AF427B">
            <w:pPr>
              <w:rPr>
                <w:sz w:val="20"/>
                <w:szCs w:val="20"/>
              </w:rPr>
            </w:pPr>
            <w:r>
              <w:rPr>
                <w:rFonts w:hint="eastAsia"/>
                <w:sz w:val="20"/>
                <w:szCs w:val="20"/>
              </w:rPr>
              <w:t>D</w:t>
            </w:r>
            <w:r w:rsidR="00984644" w:rsidRPr="00984644">
              <w:rPr>
                <w:sz w:val="20"/>
                <w:szCs w:val="20"/>
              </w:rPr>
              <w:t>ebit and credit card functions shall not co-reside on the same payment card and that consumers shall have full and unrestricted control over default settings on mobile devices and mobile wallets to select such debit or credit payment applets.</w:t>
            </w:r>
          </w:p>
        </w:tc>
      </w:tr>
      <w:tr w:rsidR="00046C6A" w14:paraId="12268FC7" w14:textId="77777777" w:rsidTr="008C6324">
        <w:trPr>
          <w:trHeight w:val="102"/>
        </w:trPr>
        <w:tc>
          <w:tcPr>
            <w:tcW w:w="1725" w:type="dxa"/>
            <w:gridSpan w:val="4"/>
          </w:tcPr>
          <w:p w14:paraId="67113250" w14:textId="77777777" w:rsidR="00046C6A" w:rsidRDefault="00914E6D" w:rsidP="00AF427B">
            <w:pPr>
              <w:rPr>
                <w:sz w:val="20"/>
                <w:szCs w:val="20"/>
              </w:rPr>
            </w:pPr>
            <w:r>
              <w:rPr>
                <w:sz w:val="20"/>
                <w:szCs w:val="20"/>
              </w:rPr>
              <w:fldChar w:fldCharType="begin">
                <w:ffData>
                  <w:name w:val="选中9"/>
                  <w:enabled/>
                  <w:calcOnExit w:val="0"/>
                  <w:checkBox>
                    <w:sizeAuto/>
                    <w:default w:val="0"/>
                  </w:checkBox>
                </w:ffData>
              </w:fldChar>
            </w:r>
            <w:bookmarkStart w:id="9" w:name="选中9"/>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9"/>
            <w:r w:rsidR="003C3A3B">
              <w:rPr>
                <w:rFonts w:hint="eastAsia"/>
                <w:sz w:val="20"/>
                <w:szCs w:val="20"/>
              </w:rPr>
              <w:t xml:space="preserve"> Element 9</w:t>
            </w:r>
          </w:p>
        </w:tc>
        <w:tc>
          <w:tcPr>
            <w:tcW w:w="7200" w:type="dxa"/>
            <w:gridSpan w:val="6"/>
          </w:tcPr>
          <w:p w14:paraId="19C41356" w14:textId="77777777" w:rsidR="00046C6A" w:rsidRDefault="00353053" w:rsidP="00AF427B">
            <w:pPr>
              <w:rPr>
                <w:sz w:val="20"/>
                <w:szCs w:val="20"/>
              </w:rPr>
            </w:pPr>
            <w:r>
              <w:rPr>
                <w:rFonts w:hint="eastAsia"/>
                <w:sz w:val="20"/>
                <w:szCs w:val="20"/>
              </w:rPr>
              <w:t>P</w:t>
            </w:r>
            <w:r w:rsidR="00984644" w:rsidRPr="00984644">
              <w:rPr>
                <w:sz w:val="20"/>
                <w:szCs w:val="20"/>
              </w:rPr>
              <w:t>remium credit and debit cards may only be given to consumers who apply for or consent to such cards.  Premium cards, and the payment applets that link to premium card payment credentials, should clearly indicate that they are premium products (e.g. display clear and prominent branding used by the payment card networks to identify them as premium products). In addition, premium payment cards shall only be given to a well-defined class of cardholders based on individual spending, assets under management, and/or income thresholds and not on the average of an issuer’s portfolio.</w:t>
            </w:r>
          </w:p>
        </w:tc>
      </w:tr>
      <w:tr w:rsidR="00046C6A" w14:paraId="1CA4F137" w14:textId="77777777" w:rsidTr="008C6324">
        <w:trPr>
          <w:trHeight w:val="200"/>
        </w:trPr>
        <w:tc>
          <w:tcPr>
            <w:tcW w:w="1725" w:type="dxa"/>
            <w:gridSpan w:val="4"/>
          </w:tcPr>
          <w:p w14:paraId="6C668E58" w14:textId="77777777" w:rsidR="00046C6A" w:rsidRDefault="00914E6D" w:rsidP="00AF427B">
            <w:pPr>
              <w:rPr>
                <w:sz w:val="20"/>
                <w:szCs w:val="20"/>
              </w:rPr>
            </w:pPr>
            <w:r>
              <w:rPr>
                <w:sz w:val="20"/>
                <w:szCs w:val="20"/>
              </w:rPr>
              <w:fldChar w:fldCharType="begin">
                <w:ffData>
                  <w:name w:val="选中10"/>
                  <w:enabled/>
                  <w:calcOnExit w:val="0"/>
                  <w:checkBox>
                    <w:sizeAuto/>
                    <w:default w:val="0"/>
                  </w:checkBox>
                </w:ffData>
              </w:fldChar>
            </w:r>
            <w:bookmarkStart w:id="10" w:name="选中10"/>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10"/>
            <w:r w:rsidR="001627E1">
              <w:rPr>
                <w:rFonts w:hint="eastAsia"/>
                <w:sz w:val="20"/>
                <w:szCs w:val="20"/>
              </w:rPr>
              <w:t xml:space="preserve"> Element 10</w:t>
            </w:r>
          </w:p>
        </w:tc>
        <w:tc>
          <w:tcPr>
            <w:tcW w:w="7200" w:type="dxa"/>
            <w:gridSpan w:val="6"/>
          </w:tcPr>
          <w:p w14:paraId="356FC9FE" w14:textId="77777777" w:rsidR="00046C6A" w:rsidRDefault="00353053" w:rsidP="00AF427B">
            <w:pPr>
              <w:rPr>
                <w:sz w:val="20"/>
                <w:szCs w:val="20"/>
              </w:rPr>
            </w:pPr>
            <w:r>
              <w:rPr>
                <w:rFonts w:hint="eastAsia"/>
                <w:sz w:val="20"/>
                <w:szCs w:val="20"/>
              </w:rPr>
              <w:t>N</w:t>
            </w:r>
            <w:r w:rsidR="00984644" w:rsidRPr="00984644">
              <w:rPr>
                <w:sz w:val="20"/>
                <w:szCs w:val="20"/>
              </w:rPr>
              <w:t>egative option acceptance is not allowed.</w:t>
            </w:r>
          </w:p>
        </w:tc>
      </w:tr>
      <w:tr w:rsidR="00046C6A" w14:paraId="0D7454EC" w14:textId="77777777" w:rsidTr="008C6324">
        <w:trPr>
          <w:trHeight w:val="142"/>
        </w:trPr>
        <w:tc>
          <w:tcPr>
            <w:tcW w:w="1725" w:type="dxa"/>
            <w:gridSpan w:val="4"/>
          </w:tcPr>
          <w:p w14:paraId="7EC67995" w14:textId="77777777" w:rsidR="00046C6A" w:rsidRDefault="00914E6D" w:rsidP="00AF427B">
            <w:pPr>
              <w:rPr>
                <w:sz w:val="20"/>
                <w:szCs w:val="20"/>
              </w:rPr>
            </w:pPr>
            <w:r>
              <w:rPr>
                <w:sz w:val="20"/>
                <w:szCs w:val="20"/>
              </w:rPr>
              <w:fldChar w:fldCharType="begin">
                <w:ffData>
                  <w:name w:val="选中11"/>
                  <w:enabled/>
                  <w:calcOnExit w:val="0"/>
                  <w:checkBox>
                    <w:sizeAuto/>
                    <w:default w:val="0"/>
                  </w:checkBox>
                </w:ffData>
              </w:fldChar>
            </w:r>
            <w:bookmarkStart w:id="11" w:name="选中11"/>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bookmarkEnd w:id="11"/>
            <w:r w:rsidR="001627E1">
              <w:rPr>
                <w:rFonts w:hint="eastAsia"/>
                <w:sz w:val="20"/>
                <w:szCs w:val="20"/>
              </w:rPr>
              <w:t xml:space="preserve"> Element 11</w:t>
            </w:r>
          </w:p>
        </w:tc>
        <w:tc>
          <w:tcPr>
            <w:tcW w:w="7200" w:type="dxa"/>
            <w:gridSpan w:val="6"/>
          </w:tcPr>
          <w:p w14:paraId="1F334896" w14:textId="77777777" w:rsidR="00046C6A" w:rsidRPr="00984644" w:rsidRDefault="00984644" w:rsidP="00AF427B">
            <w:pPr>
              <w:rPr>
                <w:sz w:val="20"/>
                <w:szCs w:val="20"/>
                <w:lang w:val="en"/>
              </w:rPr>
            </w:pPr>
            <w:r w:rsidRPr="00984644">
              <w:rPr>
                <w:sz w:val="20"/>
                <w:szCs w:val="20"/>
                <w:lang w:val="en"/>
              </w:rPr>
              <w:t>Merchants</w:t>
            </w:r>
            <w:r>
              <w:rPr>
                <w:rFonts w:hint="eastAsia"/>
                <w:sz w:val="20"/>
                <w:szCs w:val="20"/>
                <w:lang w:val="en"/>
              </w:rPr>
              <w:t xml:space="preserve"> are not required to</w:t>
            </w:r>
            <w:r w:rsidRPr="00984644">
              <w:rPr>
                <w:sz w:val="20"/>
                <w:szCs w:val="20"/>
                <w:lang w:val="en"/>
              </w:rPr>
              <w:t xml:space="preserve"> accept contactless payments at the point-of-sale, or to upgrade point-of-sale terminals to enable contactless payments.</w:t>
            </w:r>
          </w:p>
        </w:tc>
      </w:tr>
      <w:tr w:rsidR="002F2CBA" w14:paraId="49D8469B" w14:textId="77777777" w:rsidTr="008C6324">
        <w:trPr>
          <w:trHeight w:val="142"/>
        </w:trPr>
        <w:tc>
          <w:tcPr>
            <w:tcW w:w="1725" w:type="dxa"/>
            <w:gridSpan w:val="4"/>
          </w:tcPr>
          <w:p w14:paraId="42EA9E94" w14:textId="77777777" w:rsidR="002F2CBA" w:rsidRDefault="002F2CBA" w:rsidP="00AF427B">
            <w:pPr>
              <w:rPr>
                <w:sz w:val="20"/>
                <w:szCs w:val="20"/>
              </w:rPr>
            </w:pPr>
            <w:r>
              <w:rPr>
                <w:sz w:val="20"/>
                <w:szCs w:val="20"/>
              </w:rPr>
              <w:fldChar w:fldCharType="begin">
                <w:ffData>
                  <w:name w:val="选中11"/>
                  <w:enabled/>
                  <w:calcOnExit w:val="0"/>
                  <w:checkBox>
                    <w:sizeAuto/>
                    <w:default w:val="0"/>
                  </w:checkBox>
                </w:ffData>
              </w:fldChar>
            </w:r>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r>
              <w:rPr>
                <w:rFonts w:hint="eastAsia"/>
                <w:sz w:val="20"/>
                <w:szCs w:val="20"/>
              </w:rPr>
              <w:t xml:space="preserve"> Element 12</w:t>
            </w:r>
          </w:p>
        </w:tc>
        <w:tc>
          <w:tcPr>
            <w:tcW w:w="7200" w:type="dxa"/>
            <w:gridSpan w:val="6"/>
          </w:tcPr>
          <w:p w14:paraId="3DD25A20" w14:textId="77777777" w:rsidR="002F2CBA" w:rsidRDefault="00353053" w:rsidP="00984644">
            <w:pPr>
              <w:rPr>
                <w:sz w:val="20"/>
                <w:szCs w:val="20"/>
              </w:rPr>
            </w:pPr>
            <w:r>
              <w:rPr>
                <w:rFonts w:hint="eastAsia"/>
                <w:sz w:val="20"/>
                <w:szCs w:val="20"/>
              </w:rPr>
              <w:t>I</w:t>
            </w:r>
            <w:r w:rsidR="00984644" w:rsidRPr="00984644">
              <w:rPr>
                <w:sz w:val="20"/>
                <w:szCs w:val="20"/>
              </w:rPr>
              <w:t>nformation about merchant-acquirer agreements, including cancellation and renewal terms and conditions, will be disclosed in a way that is clear, simple and not misleading.</w:t>
            </w:r>
          </w:p>
        </w:tc>
      </w:tr>
      <w:tr w:rsidR="002F2CBA" w14:paraId="10BE6B4E" w14:textId="77777777" w:rsidTr="008C6324">
        <w:trPr>
          <w:trHeight w:val="142"/>
        </w:trPr>
        <w:tc>
          <w:tcPr>
            <w:tcW w:w="1725" w:type="dxa"/>
            <w:gridSpan w:val="4"/>
            <w:tcBorders>
              <w:bottom w:val="single" w:sz="4" w:space="0" w:color="auto"/>
            </w:tcBorders>
          </w:tcPr>
          <w:p w14:paraId="09197F01" w14:textId="77777777" w:rsidR="002F2CBA" w:rsidRDefault="002F2CBA" w:rsidP="00AF427B">
            <w:pPr>
              <w:rPr>
                <w:sz w:val="20"/>
                <w:szCs w:val="20"/>
              </w:rPr>
            </w:pPr>
            <w:r>
              <w:rPr>
                <w:sz w:val="20"/>
                <w:szCs w:val="20"/>
              </w:rPr>
              <w:fldChar w:fldCharType="begin">
                <w:ffData>
                  <w:name w:val="选中11"/>
                  <w:enabled/>
                  <w:calcOnExit w:val="0"/>
                  <w:checkBox>
                    <w:sizeAuto/>
                    <w:default w:val="0"/>
                  </w:checkBox>
                </w:ffData>
              </w:fldChar>
            </w:r>
            <w:r>
              <w:rPr>
                <w:sz w:val="20"/>
                <w:szCs w:val="20"/>
              </w:rPr>
              <w:instrText xml:space="preserve"> </w:instrText>
            </w:r>
            <w:r>
              <w:rPr>
                <w:rFonts w:hint="eastAsia"/>
                <w:sz w:val="20"/>
                <w:szCs w:val="20"/>
              </w:rPr>
              <w:instrText>FORMCHECKBOX</w:instrText>
            </w:r>
            <w:r>
              <w:rPr>
                <w:sz w:val="20"/>
                <w:szCs w:val="20"/>
              </w:rPr>
              <w:instrText xml:space="preserve"> </w:instrText>
            </w:r>
            <w:r w:rsidR="00A52194">
              <w:rPr>
                <w:sz w:val="20"/>
                <w:szCs w:val="20"/>
              </w:rPr>
            </w:r>
            <w:r w:rsidR="00A52194">
              <w:rPr>
                <w:sz w:val="20"/>
                <w:szCs w:val="20"/>
              </w:rPr>
              <w:fldChar w:fldCharType="separate"/>
            </w:r>
            <w:r>
              <w:rPr>
                <w:sz w:val="20"/>
                <w:szCs w:val="20"/>
              </w:rPr>
              <w:fldChar w:fldCharType="end"/>
            </w:r>
            <w:r>
              <w:rPr>
                <w:rFonts w:hint="eastAsia"/>
                <w:sz w:val="20"/>
                <w:szCs w:val="20"/>
              </w:rPr>
              <w:t xml:space="preserve"> Element 13</w:t>
            </w:r>
          </w:p>
        </w:tc>
        <w:tc>
          <w:tcPr>
            <w:tcW w:w="7200" w:type="dxa"/>
            <w:gridSpan w:val="6"/>
            <w:tcBorders>
              <w:bottom w:val="single" w:sz="4" w:space="0" w:color="auto"/>
            </w:tcBorders>
          </w:tcPr>
          <w:p w14:paraId="322A02E9" w14:textId="77777777" w:rsidR="002F2CBA" w:rsidRDefault="00353053" w:rsidP="00AF427B">
            <w:pPr>
              <w:rPr>
                <w:sz w:val="20"/>
                <w:szCs w:val="20"/>
              </w:rPr>
            </w:pPr>
            <w:r>
              <w:rPr>
                <w:rFonts w:hint="eastAsia"/>
                <w:sz w:val="20"/>
                <w:szCs w:val="20"/>
              </w:rPr>
              <w:t>M</w:t>
            </w:r>
            <w:r w:rsidRPr="00353053">
              <w:rPr>
                <w:sz w:val="20"/>
                <w:szCs w:val="20"/>
              </w:rPr>
              <w:t>erchants have access to a clear dispute resolution process that provides for an investigation and timely response of complaints pertaining to the Code.</w:t>
            </w:r>
          </w:p>
        </w:tc>
      </w:tr>
      <w:tr w:rsidR="00353053" w14:paraId="22E1843A" w14:textId="77777777" w:rsidTr="00FD5586">
        <w:trPr>
          <w:trHeight w:val="142"/>
        </w:trPr>
        <w:tc>
          <w:tcPr>
            <w:tcW w:w="8925" w:type="dxa"/>
            <w:gridSpan w:val="10"/>
            <w:tcBorders>
              <w:bottom w:val="nil"/>
            </w:tcBorders>
            <w:shd w:val="clear" w:color="auto" w:fill="000000" w:themeFill="text1"/>
          </w:tcPr>
          <w:p w14:paraId="74274DD3" w14:textId="77777777" w:rsidR="00FD5586" w:rsidRDefault="00353053" w:rsidP="00FD5586">
            <w:pPr>
              <w:rPr>
                <w:sz w:val="20"/>
                <w:szCs w:val="20"/>
              </w:rPr>
            </w:pPr>
            <w:r w:rsidRPr="00FD5586">
              <w:rPr>
                <w:rFonts w:hint="eastAsia"/>
                <w:b/>
                <w:color w:val="FFFFFF"/>
              </w:rPr>
              <w:t>3</w:t>
            </w:r>
            <w:r w:rsidRPr="00FD5586">
              <w:rPr>
                <w:rFonts w:hint="eastAsia"/>
                <w:b/>
                <w:color w:val="FFFFFF"/>
              </w:rPr>
              <w:t>．</w:t>
            </w:r>
            <w:r w:rsidRPr="00FD5586">
              <w:rPr>
                <w:rFonts w:hint="eastAsia"/>
                <w:b/>
                <w:color w:val="FFFFFF"/>
              </w:rPr>
              <w:t>Compliant Details</w:t>
            </w:r>
          </w:p>
        </w:tc>
      </w:tr>
      <w:tr w:rsidR="00353053" w14:paraId="2BCA0552" w14:textId="77777777" w:rsidTr="00FD5586">
        <w:trPr>
          <w:trHeight w:val="142"/>
        </w:trPr>
        <w:tc>
          <w:tcPr>
            <w:tcW w:w="8925" w:type="dxa"/>
            <w:gridSpan w:val="10"/>
            <w:tcBorders>
              <w:top w:val="nil"/>
            </w:tcBorders>
          </w:tcPr>
          <w:p w14:paraId="409A6030" w14:textId="77777777" w:rsidR="00353053" w:rsidRDefault="00FD5586" w:rsidP="00AF427B">
            <w:pPr>
              <w:rPr>
                <w:sz w:val="20"/>
                <w:szCs w:val="20"/>
              </w:rPr>
            </w:pPr>
            <w:r w:rsidRPr="00FD5586">
              <w:rPr>
                <w:sz w:val="20"/>
                <w:szCs w:val="20"/>
              </w:rPr>
              <w:t>Please fill in the details of your complaints in the following</w:t>
            </w:r>
            <w:r w:rsidR="005238E8">
              <w:rPr>
                <w:sz w:val="20"/>
                <w:szCs w:val="20"/>
              </w:rPr>
              <w:t xml:space="preserve"> </w:t>
            </w:r>
            <w:r w:rsidRPr="00FD5586">
              <w:rPr>
                <w:sz w:val="20"/>
                <w:szCs w:val="20"/>
              </w:rPr>
              <w:t>section</w:t>
            </w:r>
          </w:p>
          <w:p w14:paraId="7D68F756" w14:textId="77777777" w:rsidR="00353053" w:rsidRDefault="00353053" w:rsidP="00AF427B">
            <w:pPr>
              <w:rPr>
                <w:sz w:val="20"/>
                <w:szCs w:val="20"/>
              </w:rPr>
            </w:pPr>
          </w:p>
          <w:p w14:paraId="3EE59FA5" w14:textId="67377710" w:rsidR="00353053" w:rsidRDefault="00353053" w:rsidP="00AF427B">
            <w:pPr>
              <w:rPr>
                <w:sz w:val="20"/>
                <w:szCs w:val="20"/>
              </w:rPr>
            </w:pPr>
          </w:p>
          <w:p w14:paraId="0A2A4B18" w14:textId="77777777" w:rsidR="00353053" w:rsidRDefault="00353053" w:rsidP="00AF427B">
            <w:pPr>
              <w:rPr>
                <w:sz w:val="20"/>
                <w:szCs w:val="20"/>
              </w:rPr>
            </w:pPr>
          </w:p>
          <w:p w14:paraId="138F9C82" w14:textId="77777777" w:rsidR="00353053" w:rsidRDefault="00353053" w:rsidP="00AF427B">
            <w:pPr>
              <w:rPr>
                <w:sz w:val="20"/>
                <w:szCs w:val="20"/>
              </w:rPr>
            </w:pPr>
          </w:p>
          <w:p w14:paraId="0773D0F7" w14:textId="77777777" w:rsidR="00353053" w:rsidRDefault="00353053" w:rsidP="00AF427B">
            <w:pPr>
              <w:rPr>
                <w:sz w:val="20"/>
                <w:szCs w:val="20"/>
              </w:rPr>
            </w:pPr>
          </w:p>
          <w:p w14:paraId="01244DE1" w14:textId="77777777" w:rsidR="00353053" w:rsidRDefault="00353053" w:rsidP="00AF427B">
            <w:pPr>
              <w:rPr>
                <w:sz w:val="20"/>
                <w:szCs w:val="20"/>
              </w:rPr>
            </w:pPr>
          </w:p>
          <w:p w14:paraId="68CC626A" w14:textId="77777777" w:rsidR="00353053" w:rsidRDefault="00353053" w:rsidP="00AF427B">
            <w:pPr>
              <w:rPr>
                <w:sz w:val="20"/>
                <w:szCs w:val="20"/>
              </w:rPr>
            </w:pPr>
          </w:p>
          <w:p w14:paraId="03E866C3" w14:textId="77777777" w:rsidR="00353053" w:rsidRDefault="00353053" w:rsidP="00AF427B">
            <w:pPr>
              <w:rPr>
                <w:sz w:val="20"/>
                <w:szCs w:val="20"/>
              </w:rPr>
            </w:pPr>
          </w:p>
          <w:p w14:paraId="05BAF526" w14:textId="77777777" w:rsidR="00353053" w:rsidRDefault="00353053" w:rsidP="00AF427B">
            <w:pPr>
              <w:rPr>
                <w:sz w:val="20"/>
                <w:szCs w:val="20"/>
              </w:rPr>
            </w:pPr>
          </w:p>
          <w:p w14:paraId="705B7005" w14:textId="77777777" w:rsidR="00353053" w:rsidRDefault="00353053" w:rsidP="00AF427B">
            <w:pPr>
              <w:rPr>
                <w:sz w:val="20"/>
                <w:szCs w:val="20"/>
              </w:rPr>
            </w:pPr>
          </w:p>
          <w:p w14:paraId="7EE55903" w14:textId="77777777" w:rsidR="00353053" w:rsidRDefault="00353053" w:rsidP="00AF427B">
            <w:pPr>
              <w:rPr>
                <w:sz w:val="20"/>
                <w:szCs w:val="20"/>
              </w:rPr>
            </w:pPr>
          </w:p>
          <w:p w14:paraId="3F94C931" w14:textId="77777777" w:rsidR="00353053" w:rsidRDefault="00353053" w:rsidP="00AF427B">
            <w:pPr>
              <w:rPr>
                <w:sz w:val="20"/>
                <w:szCs w:val="20"/>
              </w:rPr>
            </w:pPr>
          </w:p>
          <w:p w14:paraId="49F73571" w14:textId="77777777" w:rsidR="00353053" w:rsidRDefault="00353053" w:rsidP="00AF427B">
            <w:pPr>
              <w:rPr>
                <w:sz w:val="20"/>
                <w:szCs w:val="20"/>
              </w:rPr>
            </w:pPr>
          </w:p>
        </w:tc>
      </w:tr>
    </w:tbl>
    <w:p w14:paraId="003AE965" w14:textId="77777777" w:rsidR="00434629" w:rsidRPr="00B15710" w:rsidRDefault="00434629"/>
    <w:sectPr w:rsidR="00434629" w:rsidRPr="00B157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AFB4" w14:textId="77777777" w:rsidR="00A52194" w:rsidRDefault="00A52194" w:rsidP="00B15710">
      <w:r>
        <w:separator/>
      </w:r>
    </w:p>
  </w:endnote>
  <w:endnote w:type="continuationSeparator" w:id="0">
    <w:p w14:paraId="5A3CA03B" w14:textId="77777777" w:rsidR="00A52194" w:rsidRDefault="00A52194" w:rsidP="00B1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8599" w14:textId="77777777" w:rsidR="00A52194" w:rsidRDefault="00A52194" w:rsidP="00B15710">
      <w:r>
        <w:separator/>
      </w:r>
    </w:p>
  </w:footnote>
  <w:footnote w:type="continuationSeparator" w:id="0">
    <w:p w14:paraId="32DFD3EC" w14:textId="77777777" w:rsidR="00A52194" w:rsidRDefault="00A52194" w:rsidP="00B15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7762"/>
    <w:multiLevelType w:val="multilevel"/>
    <w:tmpl w:val="6AFA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D0"/>
    <w:rsid w:val="00034241"/>
    <w:rsid w:val="00035232"/>
    <w:rsid w:val="00046C6A"/>
    <w:rsid w:val="000A0AC0"/>
    <w:rsid w:val="000C5B62"/>
    <w:rsid w:val="0012455B"/>
    <w:rsid w:val="00137A50"/>
    <w:rsid w:val="001425F8"/>
    <w:rsid w:val="001627E1"/>
    <w:rsid w:val="001E1F6F"/>
    <w:rsid w:val="002211C2"/>
    <w:rsid w:val="00270A36"/>
    <w:rsid w:val="0028108D"/>
    <w:rsid w:val="002B2936"/>
    <w:rsid w:val="002F2CBA"/>
    <w:rsid w:val="00345A3C"/>
    <w:rsid w:val="00353053"/>
    <w:rsid w:val="003663B4"/>
    <w:rsid w:val="00386AC6"/>
    <w:rsid w:val="0039643C"/>
    <w:rsid w:val="003A7528"/>
    <w:rsid w:val="003B703C"/>
    <w:rsid w:val="003C3A3B"/>
    <w:rsid w:val="003F7769"/>
    <w:rsid w:val="00434629"/>
    <w:rsid w:val="00446327"/>
    <w:rsid w:val="00460BD0"/>
    <w:rsid w:val="00482E4D"/>
    <w:rsid w:val="004862FB"/>
    <w:rsid w:val="004B3294"/>
    <w:rsid w:val="004D6DE9"/>
    <w:rsid w:val="004E77E7"/>
    <w:rsid w:val="005238E8"/>
    <w:rsid w:val="0054443E"/>
    <w:rsid w:val="0056170A"/>
    <w:rsid w:val="00564B9A"/>
    <w:rsid w:val="005759BE"/>
    <w:rsid w:val="00585A29"/>
    <w:rsid w:val="005A0396"/>
    <w:rsid w:val="005B34CD"/>
    <w:rsid w:val="00627BAA"/>
    <w:rsid w:val="00666C0B"/>
    <w:rsid w:val="006673F1"/>
    <w:rsid w:val="006A5049"/>
    <w:rsid w:val="006B3FCE"/>
    <w:rsid w:val="006F1643"/>
    <w:rsid w:val="0070558A"/>
    <w:rsid w:val="00747882"/>
    <w:rsid w:val="007B2B48"/>
    <w:rsid w:val="00801B0D"/>
    <w:rsid w:val="00827B28"/>
    <w:rsid w:val="00842B75"/>
    <w:rsid w:val="00846A77"/>
    <w:rsid w:val="008934B9"/>
    <w:rsid w:val="008A0D52"/>
    <w:rsid w:val="008C6324"/>
    <w:rsid w:val="00914E6D"/>
    <w:rsid w:val="00984644"/>
    <w:rsid w:val="009C2C51"/>
    <w:rsid w:val="009C4557"/>
    <w:rsid w:val="009C4BBC"/>
    <w:rsid w:val="00A52194"/>
    <w:rsid w:val="00A60EF6"/>
    <w:rsid w:val="00AF427B"/>
    <w:rsid w:val="00AF631A"/>
    <w:rsid w:val="00B15710"/>
    <w:rsid w:val="00B77B62"/>
    <w:rsid w:val="00B9724D"/>
    <w:rsid w:val="00BF612D"/>
    <w:rsid w:val="00D07190"/>
    <w:rsid w:val="00D907D2"/>
    <w:rsid w:val="00DB157A"/>
    <w:rsid w:val="00DB5A0A"/>
    <w:rsid w:val="00DB7178"/>
    <w:rsid w:val="00DD2EBA"/>
    <w:rsid w:val="00DE703A"/>
    <w:rsid w:val="00E55D0F"/>
    <w:rsid w:val="00EB1669"/>
    <w:rsid w:val="00F27AC4"/>
    <w:rsid w:val="00FD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9B2F"/>
  <w15:docId w15:val="{60BA752A-60F9-448B-9B29-4021ADDA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7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15710"/>
    <w:rPr>
      <w:sz w:val="18"/>
      <w:szCs w:val="18"/>
    </w:rPr>
  </w:style>
  <w:style w:type="paragraph" w:styleId="Footer">
    <w:name w:val="footer"/>
    <w:basedOn w:val="Normal"/>
    <w:link w:val="FooterChar"/>
    <w:uiPriority w:val="99"/>
    <w:unhideWhenUsed/>
    <w:rsid w:val="00B157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15710"/>
    <w:rPr>
      <w:sz w:val="18"/>
      <w:szCs w:val="18"/>
    </w:rPr>
  </w:style>
  <w:style w:type="table" w:styleId="TableGrid">
    <w:name w:val="Table Grid"/>
    <w:basedOn w:val="TableNormal"/>
    <w:uiPriority w:val="59"/>
    <w:rsid w:val="0043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FCE"/>
    <w:rPr>
      <w:color w:val="0000FF" w:themeColor="hyperlink"/>
      <w:u w:val="single"/>
    </w:rPr>
  </w:style>
  <w:style w:type="paragraph" w:styleId="BalloonText">
    <w:name w:val="Balloon Text"/>
    <w:basedOn w:val="Normal"/>
    <w:link w:val="BalloonTextChar"/>
    <w:uiPriority w:val="99"/>
    <w:semiHidden/>
    <w:unhideWhenUsed/>
    <w:rsid w:val="003F7769"/>
    <w:rPr>
      <w:sz w:val="18"/>
      <w:szCs w:val="18"/>
    </w:rPr>
  </w:style>
  <w:style w:type="character" w:customStyle="1" w:styleId="BalloonTextChar">
    <w:name w:val="Balloon Text Char"/>
    <w:basedOn w:val="DefaultParagraphFont"/>
    <w:link w:val="BalloonText"/>
    <w:uiPriority w:val="99"/>
    <w:semiHidden/>
    <w:rsid w:val="003F7769"/>
    <w:rPr>
      <w:sz w:val="18"/>
      <w:szCs w:val="18"/>
    </w:rPr>
  </w:style>
  <w:style w:type="character" w:styleId="CommentReference">
    <w:name w:val="annotation reference"/>
    <w:basedOn w:val="DefaultParagraphFont"/>
    <w:uiPriority w:val="99"/>
    <w:semiHidden/>
    <w:unhideWhenUsed/>
    <w:rsid w:val="005238E8"/>
    <w:rPr>
      <w:sz w:val="16"/>
      <w:szCs w:val="16"/>
    </w:rPr>
  </w:style>
  <w:style w:type="paragraph" w:styleId="CommentText">
    <w:name w:val="annotation text"/>
    <w:basedOn w:val="Normal"/>
    <w:link w:val="CommentTextChar"/>
    <w:uiPriority w:val="99"/>
    <w:semiHidden/>
    <w:unhideWhenUsed/>
    <w:rsid w:val="005238E8"/>
    <w:rPr>
      <w:sz w:val="20"/>
      <w:szCs w:val="20"/>
    </w:rPr>
  </w:style>
  <w:style w:type="character" w:customStyle="1" w:styleId="CommentTextChar">
    <w:name w:val="Comment Text Char"/>
    <w:basedOn w:val="DefaultParagraphFont"/>
    <w:link w:val="CommentText"/>
    <w:uiPriority w:val="99"/>
    <w:semiHidden/>
    <w:rsid w:val="005238E8"/>
    <w:rPr>
      <w:sz w:val="20"/>
      <w:szCs w:val="20"/>
    </w:rPr>
  </w:style>
  <w:style w:type="paragraph" w:styleId="CommentSubject">
    <w:name w:val="annotation subject"/>
    <w:basedOn w:val="CommentText"/>
    <w:next w:val="CommentText"/>
    <w:link w:val="CommentSubjectChar"/>
    <w:uiPriority w:val="99"/>
    <w:semiHidden/>
    <w:unhideWhenUsed/>
    <w:rsid w:val="005238E8"/>
    <w:rPr>
      <w:b/>
      <w:bCs/>
    </w:rPr>
  </w:style>
  <w:style w:type="character" w:customStyle="1" w:styleId="CommentSubjectChar">
    <w:name w:val="Comment Subject Char"/>
    <w:basedOn w:val="CommentTextChar"/>
    <w:link w:val="CommentSubject"/>
    <w:uiPriority w:val="99"/>
    <w:semiHidden/>
    <w:rsid w:val="005238E8"/>
    <w:rPr>
      <w:b/>
      <w:bCs/>
      <w:sz w:val="20"/>
      <w:szCs w:val="20"/>
    </w:rPr>
  </w:style>
  <w:style w:type="paragraph" w:styleId="Revision">
    <w:name w:val="Revision"/>
    <w:hidden/>
    <w:uiPriority w:val="99"/>
    <w:semiHidden/>
    <w:rsid w:val="0084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42245">
      <w:bodyDiv w:val="1"/>
      <w:marLeft w:val="0"/>
      <w:marRight w:val="0"/>
      <w:marTop w:val="0"/>
      <w:marBottom w:val="0"/>
      <w:divBdr>
        <w:top w:val="none" w:sz="0" w:space="0" w:color="auto"/>
        <w:left w:val="none" w:sz="0" w:space="0" w:color="auto"/>
        <w:bottom w:val="none" w:sz="0" w:space="0" w:color="auto"/>
        <w:right w:val="none" w:sz="0" w:space="0" w:color="auto"/>
      </w:divBdr>
    </w:div>
    <w:div w:id="2017802973">
      <w:bodyDiv w:val="1"/>
      <w:marLeft w:val="0"/>
      <w:marRight w:val="0"/>
      <w:marTop w:val="0"/>
      <w:marBottom w:val="0"/>
      <w:divBdr>
        <w:top w:val="none" w:sz="0" w:space="0" w:color="auto"/>
        <w:left w:val="none" w:sz="0" w:space="0" w:color="auto"/>
        <w:bottom w:val="none" w:sz="0" w:space="0" w:color="auto"/>
        <w:right w:val="none" w:sz="0" w:space="0" w:color="auto"/>
      </w:divBdr>
      <w:divsChild>
        <w:div w:id="556627626">
          <w:marLeft w:val="0"/>
          <w:marRight w:val="0"/>
          <w:marTop w:val="0"/>
          <w:marBottom w:val="0"/>
          <w:divBdr>
            <w:top w:val="none" w:sz="0" w:space="0" w:color="auto"/>
            <w:left w:val="none" w:sz="0" w:space="0" w:color="auto"/>
            <w:bottom w:val="none" w:sz="0" w:space="0" w:color="auto"/>
            <w:right w:val="none" w:sz="0" w:space="0" w:color="auto"/>
          </w:divBdr>
          <w:divsChild>
            <w:div w:id="2093812527">
              <w:marLeft w:val="0"/>
              <w:marRight w:val="0"/>
              <w:marTop w:val="0"/>
              <w:marBottom w:val="0"/>
              <w:divBdr>
                <w:top w:val="none" w:sz="0" w:space="0" w:color="auto"/>
                <w:left w:val="none" w:sz="0" w:space="0" w:color="auto"/>
                <w:bottom w:val="none" w:sz="0" w:space="0" w:color="auto"/>
                <w:right w:val="none" w:sz="0" w:space="0" w:color="auto"/>
              </w:divBdr>
              <w:divsChild>
                <w:div w:id="913859911">
                  <w:marLeft w:val="0"/>
                  <w:marRight w:val="0"/>
                  <w:marTop w:val="0"/>
                  <w:marBottom w:val="0"/>
                  <w:divBdr>
                    <w:top w:val="none" w:sz="0" w:space="0" w:color="auto"/>
                    <w:left w:val="none" w:sz="0" w:space="0" w:color="auto"/>
                    <w:bottom w:val="none" w:sz="0" w:space="0" w:color="auto"/>
                    <w:right w:val="none" w:sz="0" w:space="0" w:color="auto"/>
                  </w:divBdr>
                  <w:divsChild>
                    <w:div w:id="1381974028">
                      <w:marLeft w:val="0"/>
                      <w:marRight w:val="0"/>
                      <w:marTop w:val="0"/>
                      <w:marBottom w:val="0"/>
                      <w:divBdr>
                        <w:top w:val="none" w:sz="0" w:space="0" w:color="auto"/>
                        <w:left w:val="none" w:sz="0" w:space="0" w:color="auto"/>
                        <w:bottom w:val="none" w:sz="0" w:space="0" w:color="auto"/>
                        <w:right w:val="none" w:sz="0" w:space="0" w:color="auto"/>
                      </w:divBdr>
                      <w:divsChild>
                        <w:div w:id="435254996">
                          <w:marLeft w:val="0"/>
                          <w:marRight w:val="0"/>
                          <w:marTop w:val="0"/>
                          <w:marBottom w:val="0"/>
                          <w:divBdr>
                            <w:top w:val="none" w:sz="0" w:space="0" w:color="auto"/>
                            <w:left w:val="none" w:sz="0" w:space="0" w:color="auto"/>
                            <w:bottom w:val="none" w:sz="0" w:space="0" w:color="auto"/>
                            <w:right w:val="none" w:sz="0" w:space="0" w:color="auto"/>
                          </w:divBdr>
                          <w:divsChild>
                            <w:div w:id="1549491749">
                              <w:marLeft w:val="0"/>
                              <w:marRight w:val="0"/>
                              <w:marTop w:val="0"/>
                              <w:marBottom w:val="0"/>
                              <w:divBdr>
                                <w:top w:val="none" w:sz="0" w:space="0" w:color="auto"/>
                                <w:left w:val="none" w:sz="0" w:space="0" w:color="auto"/>
                                <w:bottom w:val="none" w:sz="0" w:space="0" w:color="auto"/>
                                <w:right w:val="none" w:sz="0" w:space="0" w:color="auto"/>
                              </w:divBdr>
                            </w:div>
                            <w:div w:id="11882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ada@unionpayint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BF0E-DB18-4183-8329-5F844E7A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张湛</dc:creator>
  <cp:lastModifiedBy>文小宇</cp:lastModifiedBy>
  <cp:revision>3</cp:revision>
  <cp:lastPrinted>2015-07-06T13:15:00Z</cp:lastPrinted>
  <dcterms:created xsi:type="dcterms:W3CDTF">2023-11-16T21:08:00Z</dcterms:created>
  <dcterms:modified xsi:type="dcterms:W3CDTF">2023-11-16T21:08:00Z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039498b2533e02089346d0178de901e7aa540f1d9a8c6f505fa487c99c444860</vt:lpwstr>
  </property>
</Properties>
</file>